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1046ec27352f0c29b833600d92358b1b08c43b7"/>
    <w:p>
      <w:pPr>
        <w:pStyle w:val="Heading1"/>
      </w:pPr>
      <w:r>
        <w:t xml:space="preserve">Публичная оферта о заключении сублицензионного договора на неисключительные права использования программ для ЭВМ торговой марки «Стартапус»</w:t>
      </w:r>
    </w:p>
    <w:p>
      <w:pPr>
        <w:pStyle w:val="FirstParagraph"/>
        <w:jc w:val="both"/>
      </w:pPr>
      <w:r>
        <w:t>Редакция от 02 октября 2026 г. Опубликована по адресу: https://startapus.com/ru/legal/sublicense-offer</w:t>
      </w:r>
    </w:p>
    <w:p>
      <w:pPr>
        <w:pStyle w:val="BodyText"/>
        <w:jc w:val="both"/>
      </w:pPr>
      <w:r>
        <w:rPr>
          <w:bCs/>
          <w:b/>
        </w:rPr>
        <w:t xml:space="preserve">Общество с ограниченной ответственностью «Л.Д.М. и Ко»</w:t>
      </w:r>
      <w:r>
        <w:t xml:space="preserve">, ИНН 7735578320, КПП 773501001, ОГРН 1117746434046, в лице директора Лукьян Оксаны Владимировны, действующей на основании Устава (далее —</w:t>
      </w:r>
      <w:r>
        <w:t xml:space="preserve"> </w:t>
      </w:r>
      <w:r>
        <w:rPr>
          <w:bCs/>
          <w:b/>
        </w:rPr>
        <w:t xml:space="preserve">Сублицензиар</w:t>
      </w:r>
      <w:r>
        <w:t xml:space="preserve">), действуя на основании лицензионного договора-оферты правообладателя — ИП Лукьян Дмитрия Михайловича (далее —</w:t>
      </w:r>
      <w:r>
        <w:t xml:space="preserve"> </w:t>
      </w:r>
      <w:r>
        <w:rPr>
          <w:bCs/>
          <w:b/>
        </w:rPr>
        <w:t xml:space="preserve">Правообладатель</w:t>
      </w:r>
      <w:r>
        <w:t xml:space="preserve">) от [дата акцепта] № [•] (далее —</w:t>
      </w:r>
      <w:r>
        <w:t xml:space="preserve"> </w:t>
      </w:r>
      <w:r>
        <w:rPr>
          <w:bCs/>
          <w:b/>
        </w:rPr>
        <w:t xml:space="preserve">Лицензионный договор</w:t>
      </w:r>
      <w:r>
        <w:t xml:space="preserve">) и письменного согласия Правообладателя на сублицензирование (</w:t>
      </w:r>
      <w:r>
        <w:rPr>
          <w:bCs/>
          <w:b/>
        </w:rPr>
        <w:t xml:space="preserve">Приложение № 2</w:t>
      </w:r>
      <w:r>
        <w:t xml:space="preserve">) (ст. 1238 ГК РФ), адресует настоящую оферту неопределённому кругу лиц (далее —</w:t>
      </w:r>
      <w:r>
        <w:t xml:space="preserve"> </w:t>
      </w:r>
      <w:r>
        <w:rPr>
          <w:bCs/>
          <w:b/>
        </w:rPr>
        <w:t xml:space="preserve">Сублицензиат</w:t>
      </w:r>
      <w:r>
        <w:t xml:space="preserve">).</w:t>
      </w:r>
    </w:p>
    <w:bookmarkStart w:id="20" w:name="термины"/>
    <w:p>
      <w:pPr>
        <w:pStyle w:val="Heading2"/>
      </w:pPr>
      <w:r>
        <w:t xml:space="preserve">1. Термины</w:t>
      </w:r>
    </w:p>
    <w:p>
      <w:pPr>
        <w:pStyle w:val="FirstParagraph"/>
        <w:jc w:val="both"/>
      </w:pPr>
      <w:r>
        <w:t xml:space="preserve">1.1.</w:t>
      </w:r>
      <w:r>
        <w:t xml:space="preserve"> </w:t>
      </w:r>
      <w:r>
        <w:rPr>
          <w:bCs/>
          <w:b/>
        </w:rPr>
        <w:t xml:space="preserve">Продукты</w:t>
      </w:r>
      <w:r>
        <w:t xml:space="preserve"> </w:t>
      </w:r>
      <w:r>
        <w:t xml:space="preserve">— программы для ЭВМ линейки «Стартапус» (Приложение № 1), права на которые принадлежат Правообладателю и переданы Сублицензиару по Лицензионному договору.</w:t>
      </w:r>
    </w:p>
    <w:p>
      <w:pPr>
        <w:pStyle w:val="BodyText"/>
        <w:jc w:val="both"/>
      </w:pPr>
      <w:r>
        <w:t xml:space="preserve">1.2.</w:t>
      </w:r>
      <w:r>
        <w:t xml:space="preserve"> </w:t>
      </w:r>
      <w:r>
        <w:rPr>
          <w:bCs/>
          <w:b/>
        </w:rPr>
        <w:t xml:space="preserve">Экземпляр</w:t>
      </w:r>
      <w:r>
        <w:t xml:space="preserve"> </w:t>
      </w:r>
      <w:r>
        <w:t xml:space="preserve">— одна копия Продукта в объектном коде.</w:t>
      </w:r>
    </w:p>
    <w:p>
      <w:pPr>
        <w:pStyle w:val="BodyText"/>
        <w:jc w:val="both"/>
      </w:pPr>
      <w:r>
        <w:t xml:space="preserve">1.3.</w:t>
      </w:r>
      <w:r>
        <w:t xml:space="preserve"> </w:t>
      </w:r>
      <w:r>
        <w:rPr>
          <w:bCs/>
          <w:b/>
        </w:rPr>
        <w:t xml:space="preserve">Акт или УПД</w:t>
      </w:r>
      <w:r>
        <w:t xml:space="preserve"> </w:t>
      </w:r>
      <w:r>
        <w:t xml:space="preserve">— акт приёма-передачи либо универсальный передаточный документ (УПД), которым оформляется передача прав и Экземпляра и в котором указаны Продукт, версия, срок и территория.</w:t>
      </w:r>
    </w:p>
    <w:p>
      <w:pPr>
        <w:pStyle w:val="BodyText"/>
        <w:jc w:val="both"/>
      </w:pPr>
      <w:r>
        <w:t xml:space="preserve">1.4.</w:t>
      </w:r>
      <w:r>
        <w:t xml:space="preserve"> </w:t>
      </w:r>
      <w:r>
        <w:rPr>
          <w:bCs/>
          <w:b/>
        </w:rPr>
        <w:t xml:space="preserve">Счёт</w:t>
      </w:r>
      <w:r>
        <w:t xml:space="preserve"> </w:t>
      </w:r>
      <w:r>
        <w:t xml:space="preserve">— счёт на оплату либо счёт-договор, выставленный в рамках настоящей оферты, в котором указаны Продукт, версия, количество Экземпляров, срок, территория, вознаграждение и порядок оплаты. Цена определяется Счётом.</w:t>
      </w:r>
    </w:p>
    <w:bookmarkEnd w:id="20"/>
    <w:bookmarkStart w:id="21" w:name="предмет-договора"/>
    <w:p>
      <w:pPr>
        <w:pStyle w:val="Heading2"/>
      </w:pPr>
      <w:r>
        <w:t xml:space="preserve">2. Предмет договора</w:t>
      </w:r>
    </w:p>
    <w:p>
      <w:pPr>
        <w:pStyle w:val="FirstParagraph"/>
        <w:jc w:val="both"/>
      </w:pPr>
      <w:r>
        <w:t xml:space="preserve">2.1. Сублицензиар предоставляет Сублицензиату на условиях простой (неисключительной) сублицензии право использования Продуктов, указанных в Актах или УПД, в пределах разд. 3, а Сублицензиат обязуется уплатить вознаграждение.</w:t>
      </w:r>
    </w:p>
    <w:p>
      <w:pPr>
        <w:pStyle w:val="BodyText"/>
        <w:jc w:val="both"/>
      </w:pPr>
      <w:r>
        <w:t xml:space="preserve">2.2. Договор охватывает серию Продуктов. Конкретный Продукт, версия, количество Экземпляров и цена определяются Счётом, а передача прав и Экземпляра оформляется Актом или УПД. Права считаются предоставленными с даты подписания Акта или УПД обеими сторонами; передача Экземпляра и ключа активации может быть поставлена в зависимость от оплаты, если это указано в Счёте.</w:t>
      </w:r>
    </w:p>
    <w:p>
      <w:pPr>
        <w:pStyle w:val="BodyText"/>
        <w:jc w:val="both"/>
      </w:pPr>
      <w:r>
        <w:t xml:space="preserve">2.2.1. Индивидуальные условия счёта-договора (цена, сроки, порядок оплаты, комплектация) имеют приоритет над настоящей офертой, но не могут допускать тиражирование либо передачу исключительного права. Параметры, указанные в п. 3.3 (среда использования, территория, срок, исходный код), могут быть изменены Счётом, Актом или УПД либо счётом-договором в пределах прав Сублицензиара по Лицензионному договору и согласию Правообладателя (Приложение № 2).</w:t>
      </w:r>
    </w:p>
    <w:p>
      <w:pPr>
        <w:pStyle w:val="BodyText"/>
        <w:jc w:val="both"/>
      </w:pPr>
      <w:r>
        <w:t xml:space="preserve">2.3. Сублицензиар подтверждает, что вправе предоставлять указанные права в пределах Лицензионного договора и письменного согласия Правообладателя (Приложение № 2); объём прав Сублицензиата не превышает объём прав Сублицензиара.</w:t>
      </w:r>
    </w:p>
    <w:bookmarkEnd w:id="21"/>
    <w:bookmarkStart w:id="22" w:name="объём-прав"/>
    <w:p>
      <w:pPr>
        <w:pStyle w:val="Heading2"/>
      </w:pPr>
      <w:r>
        <w:t xml:space="preserve">3. Объём прав</w:t>
      </w:r>
    </w:p>
    <w:p>
      <w:pPr>
        <w:pStyle w:val="FirstParagraph"/>
        <w:jc w:val="both"/>
      </w:pPr>
      <w:r>
        <w:t xml:space="preserve">3.1. По каждому Экземпляру Сублицензиату предоставляются права:</w:t>
      </w:r>
    </w:p>
    <w:p>
      <w:pPr>
        <w:pStyle w:val="BodyText"/>
        <w:jc w:val="both"/>
      </w:pPr>
      <w:r>
        <w:t xml:space="preserve">а)</w:t>
      </w:r>
      <w:r>
        <w:t xml:space="preserve"> </w:t>
      </w:r>
      <w:r>
        <w:rPr>
          <w:bCs/>
          <w:b/>
        </w:rPr>
        <w:t xml:space="preserve">использования</w:t>
      </w:r>
      <w:r>
        <w:t xml:space="preserve">: воспроизведение (установка, запуск, хранение в памяти) Экземпляра в одной</w:t>
      </w:r>
      <w:r>
        <w:t xml:space="preserve"> </w:t>
      </w:r>
      <w:r>
        <w:rPr>
          <w:bCs/>
          <w:b/>
        </w:rPr>
        <w:t xml:space="preserve">Среде использования</w:t>
      </w:r>
      <w:r>
        <w:t xml:space="preserve"> </w:t>
      </w:r>
      <w:r>
        <w:t xml:space="preserve">и применение по назначению в собственных целях. Среда использования, по выбору, указанному в Счёте, Акте или УПД: (i) одно устройство (сервер), в том числе виртуальное; либо (ii) один домен, включая все его поддомены. Если выбор не указан, применяется вариант (i). Использование на нескольких устройствах или доменах допускается только по письменному согласию Правообладателя (через Сублицензиара) (оформляется в Счёте, Акте или УПД или отдельным письмом);</w:t>
      </w:r>
    </w:p>
    <w:p>
      <w:pPr>
        <w:pStyle w:val="BodyText"/>
        <w:jc w:val="both"/>
      </w:pPr>
      <w:r>
        <w:t xml:space="preserve">б)</w:t>
      </w:r>
      <w:r>
        <w:t xml:space="preserve"> </w:t>
      </w:r>
      <w:r>
        <w:rPr>
          <w:bCs/>
          <w:b/>
        </w:rPr>
        <w:t xml:space="preserve">доработки</w:t>
      </w:r>
      <w:r>
        <w:t xml:space="preserve">: адаптация, настройка и интеграция Продукта с системами Сублицензиата в необходимом для его использования объёме. Исходный код не передаётся, если иное не указано в Акте или УПД либо Счёте. Права на результаты доработки сохраняются за Сублицензиатом, права на исходный Продукт — за правообладателем;</w:t>
      </w:r>
    </w:p>
    <w:p>
      <w:pPr>
        <w:pStyle w:val="BodyText"/>
        <w:jc w:val="both"/>
      </w:pPr>
      <w:r>
        <w:t xml:space="preserve">в)</w:t>
      </w:r>
      <w:r>
        <w:t xml:space="preserve"> </w:t>
      </w:r>
      <w:r>
        <w:rPr>
          <w:bCs/>
          <w:b/>
        </w:rPr>
        <w:t xml:space="preserve">перепродажи своей копии</w:t>
      </w:r>
      <w:r>
        <w:t xml:space="preserve">: передача приобретённого Сублицензиатом Экземпляра вместе с правами на него другому лицу целиком, с прекращением прав Сублицензиата и удалением им всех копий (разд. 4). Такая перепродажа не является тиражированием.</w:t>
      </w:r>
    </w:p>
    <w:p>
      <w:pPr>
        <w:pStyle w:val="BodyText"/>
        <w:jc w:val="both"/>
      </w:pPr>
      <w:r>
        <w:t xml:space="preserve">3.2.</w:t>
      </w:r>
      <w:r>
        <w:t xml:space="preserve"> </w:t>
      </w:r>
      <w:r>
        <w:rPr>
          <w:bCs/>
          <w:b/>
        </w:rPr>
        <w:t xml:space="preserve">Не предоставляется</w:t>
      </w:r>
      <w:r>
        <w:t xml:space="preserve"> </w:t>
      </w:r>
      <w:r>
        <w:t xml:space="preserve">право: тиражирования (изготовления, установки или продажи более одной копии Экземпляра, в том числе передачи одной и той же копии нескольким лицам либо сохранения копии после перепродажи; установки в нескольких Средах использования без согласия Правообладателя; кроме технически необходимых резервных копий); предоставления доступа неограниченному кругу лиц; дальнейшего сублицензирования (кроме п. 3.1 «в»); декомпилирования, кроме случаев, разрешённых ст. 1280 ГК РФ; использования товарных знаков.</w:t>
      </w:r>
    </w:p>
    <w:p>
      <w:pPr>
        <w:pStyle w:val="BodyText"/>
        <w:jc w:val="both"/>
      </w:pPr>
      <w:r>
        <w:t xml:space="preserve">3.3. Если иное не указано в Акте или УПД либо Счёте (счёте-договоре): территория — Российская Федерация; срок — бессрочно, с даты подписания Акта или УПД; Среда использования — по п. 3.1 «а»; исходный код не передаётся.</w:t>
      </w:r>
    </w:p>
    <w:p>
      <w:pPr>
        <w:pStyle w:val="BodyText"/>
        <w:jc w:val="both"/>
      </w:pPr>
      <w:r>
        <w:t xml:space="preserve">3.4. Права, прямо не предоставленные, считаются непредоставленными (п. 5 ст. 1235 ГК РФ).</w:t>
      </w:r>
    </w:p>
    <w:p>
      <w:pPr>
        <w:pStyle w:val="BodyText"/>
        <w:jc w:val="both"/>
      </w:pPr>
      <w:r>
        <w:t xml:space="preserve">3.5.</w:t>
      </w:r>
      <w:r>
        <w:t xml:space="preserve"> </w:t>
      </w:r>
      <w:r>
        <w:rPr>
          <w:bCs/>
          <w:b/>
        </w:rPr>
        <w:t xml:space="preserve">Исключительное право на Продукты Сублицензиату не передаётся и не отчуждается.</w:t>
      </w:r>
      <w:r>
        <w:t xml:space="preserve"> </w:t>
      </w:r>
      <w:r>
        <w:t xml:space="preserve">Ничто в настоящем договоре и Актах или УПД не является отчуждением или уступкой исключительного права, а также передачей прав на товарные знаки и наименования. Передача исходного кода (если она согласована в Акте или УПД либо Счёте) не означает передачи исключительного права или права на тиражирование. Исключительное право сохраняется за Правообладателем.</w:t>
      </w:r>
    </w:p>
    <w:bookmarkEnd w:id="22"/>
    <w:bookmarkStart w:id="23" w:name="перепродажа-экземпляра"/>
    <w:p>
      <w:pPr>
        <w:pStyle w:val="Heading2"/>
      </w:pPr>
      <w:r>
        <w:t xml:space="preserve">4. Перепродажа Экземпляра</w:t>
      </w:r>
    </w:p>
    <w:p>
      <w:pPr>
        <w:pStyle w:val="FirstParagraph"/>
        <w:jc w:val="both"/>
      </w:pPr>
      <w:r>
        <w:t xml:space="preserve">4.1. Сублицензиат вправе перепродать свою копию (Экземпляр) другому лицу целиком при условии: (а) уведомления Сублицензиара за [5] рабочих дней с указанием реквизитов приобретателя; (б) принятия приобретателем условий настоящей оферты (акцепт им оферты); (в) прекращения прав Сублицензиата и удаления им всех копий Продукта; (г) отсутствия задолженности по вознаграждению; (д) сохранения Среды использования, территории и срока без расширения.</w:t>
      </w:r>
    </w:p>
    <w:p>
      <w:pPr>
        <w:pStyle w:val="BodyText"/>
        <w:jc w:val="both"/>
      </w:pPr>
      <w:r>
        <w:t xml:space="preserve">4.2.</w:t>
      </w:r>
      <w:r>
        <w:t xml:space="preserve"> </w:t>
      </w:r>
      <w:r>
        <w:rPr>
          <w:bCs/>
          <w:b/>
        </w:rPr>
        <w:t xml:space="preserve">С момента перепродажи Сублицензиат полностью утрачивает право пользоваться Продуктом по данному Экземпляру.</w:t>
      </w:r>
      <w:r>
        <w:t xml:space="preserve"> </w:t>
      </w:r>
      <w:r>
        <w:t xml:space="preserve">Моментом перепродажи считается подписание Акта или УПД о передаче Экземпляра приобретателю либо передача ему дистрибутива и ключа активации, в зависимости от того, что наступило раньше. С этого момента прежний Сублицензиат не вправе устанавливать, запускать, хранить, дорабатывать Продукт и иным образом использовать его, в том числе из резервных копий; он обязан удалить все копии Продукта и в течение [3] рабочих дней письменно подтвердить это Сублицензиару. Сублицензиар вправе заблокировать ключ активации прежнего Сублицензиата и выдать ключ приобретателю. Дальнейшее использование Продукта прежним Сублицензиатом является тиражированием и нарушением настоящего договора.</w:t>
      </w:r>
    </w:p>
    <w:p>
      <w:pPr>
        <w:pStyle w:val="BodyText"/>
        <w:jc w:val="both"/>
      </w:pPr>
      <w:r>
        <w:t xml:space="preserve">4.2.1. Приобретатель вправе на тех же условиях перепродать свою копию далее.</w:t>
      </w:r>
    </w:p>
    <w:p>
      <w:pPr>
        <w:pStyle w:val="BodyText"/>
        <w:jc w:val="both"/>
      </w:pPr>
      <w:r>
        <w:t xml:space="preserve">4.3. [Опционально: за переоформление уплачивается сбор [•] руб.]</w:t>
      </w:r>
    </w:p>
    <w:bookmarkEnd w:id="23"/>
    <w:bookmarkStart w:id="24" w:name="вознаграждение-и-расчёты"/>
    <w:p>
      <w:pPr>
        <w:pStyle w:val="Heading2"/>
      </w:pPr>
      <w:r>
        <w:t xml:space="preserve">5. Вознаграждение и расчёты</w:t>
      </w:r>
    </w:p>
    <w:p>
      <w:pPr>
        <w:pStyle w:val="FirstParagraph"/>
        <w:jc w:val="both"/>
      </w:pPr>
      <w:r>
        <w:t xml:space="preserve">5.1. Вознаграждение по каждому Экземпляру определяется Счётом (или счётом-договором), выставленным Сублицензиаром, и указывается в Акте или УПД. Цена в выставленном Счёте не подлежит одностороннему изменению.</w:t>
      </w:r>
    </w:p>
    <w:p>
      <w:pPr>
        <w:pStyle w:val="BodyText"/>
        <w:jc w:val="both"/>
      </w:pPr>
      <w:r>
        <w:t xml:space="preserve">5.2. Оплата — в срок, указанный в Счёте, а при отсутствии срока — в течение [•] рабочих дней с даты выставления Счёта. НДС: [•].</w:t>
      </w:r>
    </w:p>
    <w:bookmarkEnd w:id="24"/>
    <w:bookmarkStart w:id="25" w:name="акцепт-и-заключение-договора"/>
    <w:p>
      <w:pPr>
        <w:pStyle w:val="Heading2"/>
      </w:pPr>
      <w:r>
        <w:t xml:space="preserve">6. Акцепт и заключение договора</w:t>
      </w:r>
    </w:p>
    <w:p>
      <w:pPr>
        <w:pStyle w:val="FirstParagraph"/>
        <w:jc w:val="both"/>
      </w:pPr>
      <w:r>
        <w:t xml:space="preserve">6.1. Акцептом является: оплата Счёта со ссылкой на оферту; подписание счёта-договора, Акта или УПД со ссылкой на оферту; письменное согласие с условиями оферты; фактическое начало использования Продукта (п. 3 ст. 438 ГК РФ).</w:t>
      </w:r>
    </w:p>
    <w:p>
      <w:pPr>
        <w:pStyle w:val="BodyText"/>
        <w:jc w:val="both"/>
      </w:pPr>
      <w:r>
        <w:t xml:space="preserve">6.2. Договор считается заключённым в письменной форме с момента акцепта (п. 3 ст. 434, ст. 1286 ГК РФ).</w:t>
      </w:r>
    </w:p>
    <w:bookmarkEnd w:id="25"/>
    <w:bookmarkStart w:id="26" w:name="обратная-сила"/>
    <w:p>
      <w:pPr>
        <w:pStyle w:val="Heading2"/>
      </w:pPr>
      <w:r>
        <w:t xml:space="preserve">7. Обратная сила</w:t>
      </w:r>
    </w:p>
    <w:p>
      <w:pPr>
        <w:pStyle w:val="FirstParagraph"/>
        <w:jc w:val="both"/>
      </w:pPr>
      <w:r>
        <w:t xml:space="preserve">7.1. Настоящий Договор распространяет своё действие на отношения Сторон, возникшие с 07 ноября 2025 г., в соответствии с п. 2 ст. 425 ГК РФ. Права, переданные в указанный период, считаются переданными на условиях настоящего Договора.</w:t>
      </w:r>
    </w:p>
    <w:p>
      <w:pPr>
        <w:pStyle w:val="BodyText"/>
        <w:jc w:val="both"/>
      </w:pPr>
      <w:r>
        <w:t xml:space="preserve">7.2. Счета (счета-договоры) и акты или УПД, выставленные и подписанные с 07 ноября 2025 г., считаются выставленными и подписанными в рамках настоящего Договора, а указанные в них Продукты, Экземпляры и вознаграждение — относящимися к нему. Повторное подписание таких документов не требуется.</w:t>
      </w:r>
    </w:p>
    <w:p>
      <w:pPr>
        <w:pStyle w:val="BodyText"/>
        <w:jc w:val="both"/>
      </w:pPr>
      <w:r>
        <w:t xml:space="preserve">7.3. Сублицензиар подтверждает, что на 07 ноября 2025 г. и в течение всего периода, указанного в п. 7.1, обладал правами на Продукты по Лицензионному договору и письменным согласием Правообладателя на сублицензирование (Приложение № 2).</w:t>
      </w:r>
    </w:p>
    <w:bookmarkEnd w:id="26"/>
    <w:bookmarkStart w:id="27" w:name="права-и-обязанности"/>
    <w:p>
      <w:pPr>
        <w:pStyle w:val="Heading2"/>
      </w:pPr>
      <w:r>
        <w:t xml:space="preserve">8. Права и обязанности</w:t>
      </w:r>
    </w:p>
    <w:p>
      <w:pPr>
        <w:pStyle w:val="FirstParagraph"/>
        <w:jc w:val="both"/>
      </w:pPr>
      <w:r>
        <w:t xml:space="preserve">8.1. Сублицензиар обязуется передать Экземпляр и ключ активации, [обеспечить техническую поддержку на условиях [•]].</w:t>
      </w:r>
    </w:p>
    <w:p>
      <w:pPr>
        <w:pStyle w:val="BodyText"/>
        <w:jc w:val="both"/>
      </w:pPr>
      <w:r>
        <w:t xml:space="preserve">8.2. Сублицензиат обязуется использовать Продукт в пределах прав, не допускать тиражирования, не передавать ключи третьим лицам, обеспечить конфиденциальность Продукта.</w:t>
      </w:r>
    </w:p>
    <w:p>
      <w:pPr>
        <w:pStyle w:val="BodyText"/>
        <w:jc w:val="both"/>
      </w:pPr>
      <w:r>
        <w:t xml:space="preserve">8.3. Сублицензиар вправе заблокировать ключ при нарушении п. 3.2 или неоплате более [•] дней. Сублицензиар [и правообладатель] вправе запросить подтверждение соблюдения условий лицензии.</w:t>
      </w:r>
    </w:p>
    <w:p>
      <w:pPr>
        <w:pStyle w:val="BodyText"/>
        <w:jc w:val="both"/>
      </w:pPr>
      <w:r>
        <w:t xml:space="preserve">8.4. Сублицензия прекращается автоматически при прекращении Лицензионного договора, если иное не предусмотрено соглашением с правообладателем [укажите, если сохраняется].</w:t>
      </w:r>
    </w:p>
    <w:bookmarkEnd w:id="27"/>
    <w:bookmarkStart w:id="28" w:name="ответственность"/>
    <w:p>
      <w:pPr>
        <w:pStyle w:val="Heading2"/>
      </w:pPr>
      <w:r>
        <w:t xml:space="preserve">9. Ответственность</w:t>
      </w:r>
    </w:p>
    <w:p>
      <w:pPr>
        <w:pStyle w:val="FirstParagraph"/>
        <w:jc w:val="both"/>
      </w:pPr>
      <w:r>
        <w:t xml:space="preserve">9.1. За нарушение п. 3.2 или п. 4.2 Сублицензиат уплачивает штраф [•] руб. за каждый незаконный экземпляр либо компенсацию по ст. 1301 ГК РФ — по выбору правообладателя или Сублицензиара.</w:t>
      </w:r>
    </w:p>
    <w:p>
      <w:pPr>
        <w:pStyle w:val="BodyText"/>
        <w:jc w:val="both"/>
      </w:pPr>
      <w:r>
        <w:t xml:space="preserve">9.2. Просрочка оплаты — неустойка [0,1] % за каждый день.</w:t>
      </w:r>
    </w:p>
    <w:p>
      <w:pPr>
        <w:pStyle w:val="BodyText"/>
        <w:jc w:val="both"/>
      </w:pPr>
      <w:r>
        <w:t xml:space="preserve">9.3. Продукт предоставляется «как есть»; ответственность Сублицензиара ограничена суммой вознаграждения по соответствующему Акту или УПД, за исключением случаев, когда ограничение недопустимо законом. Перед Правообладателем за действия Сублицензиата отвечает Сублицензиар (п. 2 ст. 1238 ГК РФ).</w:t>
      </w:r>
    </w:p>
    <w:bookmarkEnd w:id="28"/>
    <w:bookmarkStart w:id="29" w:name="прочие-условия"/>
    <w:p>
      <w:pPr>
        <w:pStyle w:val="Heading2"/>
      </w:pPr>
      <w:r>
        <w:t xml:space="preserve">10. Прочие условия</w:t>
      </w:r>
    </w:p>
    <w:p>
      <w:pPr>
        <w:pStyle w:val="FirstParagraph"/>
        <w:jc w:val="both"/>
      </w:pPr>
      <w:r>
        <w:t xml:space="preserve">10.1. Применимое право — право РФ. Претензионный порядок — [30] дней. Споры — в Арбитражном суде г. Москвы (для юридических лиц и ИП), для иных лиц — по правилам ГПК РФ.</w:t>
      </w:r>
    </w:p>
    <w:p>
      <w:pPr>
        <w:pStyle w:val="BodyText"/>
        <w:jc w:val="both"/>
      </w:pPr>
      <w:r>
        <w:t xml:space="preserve">10.2. Сублицензиар вправе изменять оферту; новая редакция применяется к Актам или УПД, подписанным после публикации.</w:t>
      </w:r>
    </w:p>
    <w:p>
      <w:pPr>
        <w:pStyle w:val="BodyText"/>
        <w:jc w:val="both"/>
      </w:pPr>
      <w:r>
        <w:t xml:space="preserve">10.3. Допускается подписание и обмен документами в электронной форме.</w:t>
      </w:r>
    </w:p>
    <w:bookmarkEnd w:id="29"/>
    <w:bookmarkStart w:id="30" w:name="реквизиты-сублицензиара"/>
    <w:p>
      <w:pPr>
        <w:pStyle w:val="Heading2"/>
      </w:pPr>
      <w:r>
        <w:t xml:space="preserve">11. Реквизиты Сублицензиара</w:t>
      </w:r>
    </w:p>
    <w:p>
      <w:pPr>
        <w:pStyle w:val="FirstParagraph"/>
        <w:jc w:val="left"/>
      </w:pPr>
      <w:r>
        <w:rPr>
          <w:bCs/>
          <w:b/>
        </w:rPr>
        <w:t xml:space="preserve">Сублицензиар:</w:t>
      </w:r>
      <w:r>
        <w:t xml:space="preserve"> </w:t>
      </w:r>
      <w:r>
        <w:t xml:space="preserve">ООО «Л.Д.М. и Ко»</w:t>
      </w:r>
      <w:r>
        <w:br/>
      </w:r>
      <w:r>
        <w:t xml:space="preserve">ИНН/КПП 7735578320 / 773501001, ОГРН 1117746434046</w:t>
      </w:r>
      <w:r>
        <w:br/>
      </w:r>
      <w:r>
        <w:t xml:space="preserve">Адрес: 124460, г. Москва, г. Зеленоград, Панфиловский проспект, к. 1106, кв. 56</w:t>
      </w:r>
      <w:r>
        <w:br/>
      </w:r>
      <w:r>
        <w:t xml:space="preserve">Р/с 40702810838150007902 в ОАО «Сбербанк России» (Московский банк), к/с 30101810400000000225, БИК 044525225</w:t>
      </w:r>
      <w:r>
        <w:br/>
      </w:r>
      <w:r>
        <w:t xml:space="preserve">E-mail: me@ldm-co.ru. Тел.: +7 925 905 5758</w:t>
      </w:r>
    </w:p>
    <w:p>
      <w:pPr>
        <w:pStyle w:val="BodyText"/>
        <w:jc w:val="both"/>
      </w:pPr>
      <w:r>
        <w:t xml:space="preserve">Директор ________________ / Лукьян О. В. / М.П.</w:t>
      </w:r>
    </w:p>
    <w:p>
      <w:r>
        <w:pict>
          <v:rect style="width:0;height:1.5pt" o:hralign="center" o:hrstd="t" o:hr="t"/>
        </w:pict>
      </w:r>
    </w:p>
    <w:bookmarkEnd w:id="30"/>
    <w:bookmarkStart w:id="31" w:name="приложение-1.-перечень-продуктов"/>
    <w:p>
      <w:pPr>
        <w:pStyle w:val="Heading2"/>
      </w:pPr>
      <w:r>
        <w:t xml:space="preserve">Приложение № 1. Перечень Продуктов</w:t>
      </w:r>
    </w:p>
    <w:p>
      <w:pPr>
        <w:pStyle w:val="FirstParagraph"/>
        <w:jc w:val="both"/>
      </w:pPr>
      <w:r>
        <w:t xml:space="preserve">Хабус, Логинус, Чатус, Контентус, Умус, Школус, Реформус, Процессус, Счётус, Витринус, Кадрус. Назначение, спецификации, версии и регистрационные данные — см. Приложение № 1 Лицензионного договора (действующая редакция). Перечень Продуктов в сублицензии не может быть шире перечня в Лицензионном договоре. Реквизиты Лицензионного договора: [•].</w:t>
      </w:r>
    </w:p>
    <w:p>
      <w:r>
        <w:pict>
          <v:rect style="width:0;height:1.5pt" o:hralign="center" o:hrstd="t" o:hr="t"/>
        </w:pict>
      </w:r>
    </w:p>
    <w:bookmarkEnd w:id="31"/>
    <w:bookmarkStart w:id="32" w:name="Xb6622f42d350325158b4c4ec79d9a458e4ce57a"/>
    <w:p>
      <w:pPr>
        <w:pStyle w:val="Heading2"/>
      </w:pPr>
      <w:r>
        <w:t xml:space="preserve">Приложение № 2. Согласие (разрешение) Правообладателя на сублицензирование</w:t>
      </w:r>
    </w:p>
    <w:p>
      <w:pPr>
        <w:pStyle w:val="FirstParagraph"/>
        <w:jc w:val="both"/>
      </w:pPr>
      <w:r>
        <w:t xml:space="preserve">г. [•] [дата]</w:t>
      </w:r>
    </w:p>
    <w:p>
      <w:pPr>
        <w:pStyle w:val="BodyText"/>
        <w:jc w:val="both"/>
      </w:pPr>
      <w:r>
        <w:t xml:space="preserve">Я,</w:t>
      </w:r>
      <w:r>
        <w:t xml:space="preserve"> </w:t>
      </w:r>
      <w:r>
        <w:rPr>
          <w:bCs/>
          <w:b/>
        </w:rPr>
        <w:t xml:space="preserve">Индивидуальный предприниматель Лукьян Дмитрий Михайлович</w:t>
      </w:r>
      <w:r>
        <w:t xml:space="preserve">, ИНН 773571770187, ОГРНИП 313774609200207, являясь Правообладателем (обладателем исключительных прав) на программы для ЭВМ торговой марки «Стартапус», перечисленные в Приложении № 1 (далее — Продукты), в соответствии со ст. 1238 ГК РФ</w:t>
      </w:r>
      <w:r>
        <w:t xml:space="preserve"> </w:t>
      </w:r>
      <w:r>
        <w:rPr>
          <w:bCs/>
          <w:b/>
        </w:rPr>
        <w:t xml:space="preserve">даю письменное согласие и разрешаю</w:t>
      </w:r>
      <w:r>
        <w:t xml:space="preserve"> </w:t>
      </w:r>
      <w:r>
        <w:t xml:space="preserve">Обществу с ограниченной ответственностью «Л.Д.М. и Ко» (ИНН 7735578320, ОГРН 1117746434046) (далее — Интегратор) предоставлять третьим лицам сублицензии на использование Продуктов на следующих условиях: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Основание.</w:t>
      </w:r>
      <w:r>
        <w:t xml:space="preserve"> </w:t>
      </w:r>
      <w:r>
        <w:t xml:space="preserve">Лицензионный договор-оферта Правообладателя от [дата] № [•], акцептованный Интегратором.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Вид и объём прав.</w:t>
      </w:r>
      <w:r>
        <w:t xml:space="preserve"> </w:t>
      </w:r>
      <w:r>
        <w:t xml:space="preserve">Только простые (неисключительные) права: использование (в одной Среде использования: одно устройство, в том числе виртуальное, либо один домен со всеми поддоменами; на нескольких — только с письменного согласия Правообладателя), доработка и перепродажа своей копии — в пределах разд. 3 и 4 Лицензионного договора и Сублицензионной оферты Интегратора. Тиражирование запрещено.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Исключительное право не передаётся.</w:t>
      </w:r>
      <w:r>
        <w:t xml:space="preserve"> </w:t>
      </w:r>
      <w:r>
        <w:t xml:space="preserve">Настоящее согласие не является отчуждением, уступкой или залогом исключительного права, а также передачей прав на товарные знаки и исходный код. Интегратор не вправе предоставлять сублицензии шире объёма собственных прав.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Территория и срок.</w:t>
      </w:r>
      <w:r>
        <w:t xml:space="preserve"> </w:t>
      </w:r>
      <w:r>
        <w:t xml:space="preserve">Территория: Российская Федерация; срок — бессрочно, если иное не указано в Акте или УПД либо Счёте. Территория и срок сублицензии не могут превышать территорию и срок права Интегратора по соответствующему Акту или УПД.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Дальнейшее сублицензирование.</w:t>
      </w:r>
      <w:r>
        <w:t xml:space="preserve"> </w:t>
      </w:r>
      <w:r>
        <w:t xml:space="preserve">Сублицензиаты не вправе выдавать суб-сублицензии, кроме перепродажи своей копии по Сублицензионной оферте.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Отчётность.</w:t>
      </w:r>
      <w:r>
        <w:t xml:space="preserve"> </w:t>
      </w:r>
      <w:r>
        <w:t xml:space="preserve">Интегратор по запросу Правообладателя в течение [5] рабочих дней представляет сведения о выданных сублицензиях (Продукт, версия, сублицензиат, дата, количество копий).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Срок согласия.</w:t>
      </w:r>
      <w:r>
        <w:t xml:space="preserve"> </w:t>
      </w:r>
      <w:r>
        <w:t xml:space="preserve">Действует с 07 ноября 2025 г. до [отзыва / даты]. Отзыв согласия не прекращает ранее выданные сублицензии, если иное не указано в уведомлении об отзыве.</w:t>
      </w:r>
    </w:p>
    <w:p>
      <w:pPr>
        <w:numPr>
          <w:ilvl w:val="0"/>
          <w:numId w:val="1001"/>
        </w:numPr>
        <w:pStyle w:val="Compact"/>
      </w:pPr>
      <w:r>
        <w:t xml:space="preserve">Правообладатель подтверждает, что согласие на сублицензирование действует в отношении Интегратора с 07 ноября 2025 г., и выданные с этой даты в соответствии с ним сублицензии считаются правомерными.</w:t>
      </w:r>
    </w:p>
    <w:p>
      <w:pPr>
        <w:pStyle w:val="FirstParagraph"/>
        <w:jc w:val="both"/>
      </w:pPr>
      <w:r>
        <w:t xml:space="preserve">Правообладатель: ИП Лукьян Дмитрий Михайлович</w:t>
      </w:r>
    </w:p>
    <w:p>
      <w:pPr>
        <w:pStyle w:val="BodyText"/>
        <w:jc w:val="both"/>
      </w:pPr>
      <w:r>
        <w:t xml:space="preserve">________________ / Лукьян Д. М. /</w:t>
      </w:r>
    </w:p>
    <w:p>
      <w:pPr>
        <w:pStyle w:val="BodyText"/>
        <w:jc w:val="both"/>
      </w:pPr>
      <w:r>
        <w:t>Согласие подписывается Правообладателем отдельно (собственноручно или усиленной электронной подписью) и прилагается к Сублицензионной оферте; копия публикуется вместе с офертой по адресу https://startapus.com/ru/legal/sublicense-offer.</w:t>
      </w:r>
    </w:p>
    <w:bookmarkEnd w:id="32"/>
    <w:bookmarkEnd w:id="33"/>
    <w:sectPr>
      <w:pgSz w:w="11906" w:h="16838"/>
      <w:pgMar w:left="1417" w:right="850" w:top="1134" w:bottom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Times New Roman" w:hAnsi="Times New Roman" w:cs="Times New Roman" w:eastAsia="Times New Roman"/>
      <w:sz w:val="22"/>
    </w:rPr>
  </w:style>
  <w:style w:styleId="BodyText" w:type="paragraph">
    <w:name w:val="Body Text"/>
    <w:basedOn w:val="Normal"/>
    <w:link w:val="BodyTextChar"/>
    <w:pPr>
      <w:spacing w:after="180" w:before="180"/>
    </w:pPr>
    <w:qFormat/>
    <w:rPr>
      <w:rFonts w:ascii="Times New Roman" w:hAnsi="Times New Roman" w:cs="Times New Roman" w:eastAsia="Times New Roman"/>
      <w:sz w:val="22"/>
    </w:rPr>
  </w:style>
  <w:style w:customStyle="1" w:styleId="FirstParagraph" w:type="paragraph">
    <w:name w:val="First Paragraph"/>
    <w:basedOn w:val="BodyText"/>
    <w:next w:val="BodyText"/>
    <w:qFormat/>
    <w:rPr>
      <w:rFonts w:ascii="Times New Roman" w:hAnsi="Times New Roman" w:cs="Times New Roman" w:eastAsia="Times New Roman"/>
      <w:sz w:val="22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Times New Roman" w:hAnsi="Times New Roman" w:cs="Times New Roman" w:eastAsia="Times New Roman"/>
      <w:sz w:val="20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Times New Roman" w:hAnsi="Times New Roman" w:cs="Times New Roman" w:eastAsia="Times New Roman"/>
      <w:b/>
      <w:bCs/>
      <w:i w:val="0"/>
      <w:color w:val="000000"/>
      <w:sz w:val="32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Times New Roman" w:hAnsi="Times New Roman" w:cs="Times New Roman" w:eastAsia="Times New Roman"/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Times New Roman" w:hAnsi="Times New Roman" w:cs="Times New Roman" w:eastAsia="Times New Roman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Times New Roman" w:hAnsi="Times New Roman" w:cs="Times New Roman" w:eastAsia="Times New Roman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rFonts w:ascii="Times New Roman" w:hAnsi="Times New Roman" w:cs="Times New Roman" w:eastAsia="Times New Roman"/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Times New Roman" w:hAnsi="Times New Roman" w:cs="Times New Roman" w:eastAsia="Times New Roman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Times New Roman" w:hAnsi="Times New Roman" w:cs="Times New Roman" w:eastAsia="Times New Roman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="Times New Roman" w:hAnsi="Times New Roman" w:cs="Times New Roman" w:eastAsia="Times New Roman"/>
      <w:b/>
      <w:bCs/>
      <w:i w:val="0"/>
      <w:color w:val="000000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="Times New Roman" w:hAnsi="Times New Roman" w:cs="Times New Roman" w:eastAsia="Times New Roman"/>
      <w:b/>
      <w:bCs/>
      <w:i w:val="0"/>
      <w:color w:val="000000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="Times New Roman" w:hAnsi="Times New Roman" w:cs="Times New Roman" w:eastAsia="Times New Roman"/>
      <w:b/>
      <w:bCs/>
      <w:i w:val="0"/>
      <w:color w:val="000000"/>
      <w:sz w:val="22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="Times New Roman" w:hAnsi="Times New Roman" w:cs="Times New Roman" w:eastAsia="Times New Roman"/>
      <w:i w:val="0"/>
      <w:b/>
      <w:bCs/>
      <w:color w:val="00000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Times New Roman" w:hAnsi="Times New Roman" w:cs="Times New Roman" w:eastAsia="Times New Roman"/>
      <w:b/>
      <w:i w:val="0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Times New Roman" w:hAnsi="Times New Roman" w:cs="Times New Roman" w:eastAsia="Times New Roman"/>
      <w:b/>
      <w:i w:val="0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Times New Roman" w:hAnsi="Times New Roman" w:cs="Times New Roman" w:eastAsia="Times New Roman"/>
      <w:b/>
      <w:i w:val="0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Times New Roman" w:hAnsi="Times New Roman" w:cs="Times New Roman" w:eastAsia="Times New Roman"/>
      <w:b/>
      <w:i w:val="0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Times New Roman" w:hAnsi="Times New Roman" w:cs="Times New Roman" w:eastAsia="Times New Roman"/>
      <w:b/>
      <w:i w:val="0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hAnsi="Times New Roman" w:cs="Times New Roman" w:eastAsia="Times New Roman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Times New Roman" w:hAnsi="Times New Roman" w:cs="Times New Roman" w:eastAsia="Times New Roman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Times New Roman" w:hAnsi="Times New Roman" w:cs="Times New Roman" w:eastAsia="Times New Roman"/>
      <w:b/>
    </w:rPr>
  </w:style>
  <w:style w:customStyle="1" w:styleId="Definition" w:type="paragraph">
    <w:name w:val="Definition"/>
    <w:basedOn w:val="Normal"/>
    <w:rPr>
      <w:rFonts w:ascii="Times New Roman" w:hAnsi="Times New Roman" w:cs="Times New Roman" w:eastAsia="Times New Roman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Times New Roman" w:hAnsi="Times New Roman" w:cs="Times New Roman" w:eastAsia="Times New Roman"/>
      <w:i/>
    </w:rPr>
  </w:style>
  <w:style w:customStyle="1" w:styleId="TableCaption" w:type="paragraph">
    <w:name w:val="Table Caption"/>
    <w:basedOn w:val="Caption"/>
    <w:pPr>
      <w:keepNext/>
    </w:pPr>
    <w:rPr>
      <w:rFonts w:ascii="Times New Roman" w:hAnsi="Times New Roman" w:cs="Times New Roman" w:eastAsia="Times New Roman"/>
    </w:rPr>
  </w:style>
  <w:style w:customStyle="1" w:styleId="ImageCaption" w:type="paragraph">
    <w:name w:val="Image Caption"/>
    <w:basedOn w:val="Caption"/>
    <w:rPr>
      <w:rFonts w:ascii="Times New Roman" w:hAnsi="Times New Roman" w:cs="Times New Roman" w:eastAsia="Times New Roman"/>
    </w:rPr>
  </w:style>
  <w:style w:customStyle="1" w:styleId="Figure" w:type="paragraph">
    <w:name w:val="Figure"/>
    <w:basedOn w:val="Normal"/>
    <w:rPr>
      <w:rFonts w:ascii="Times New Roman" w:hAnsi="Times New Roman" w:cs="Times New Roman" w:eastAsia="Times New Roman"/>
    </w:rPr>
  </w:style>
  <w:style w:customStyle="1" w:styleId="CaptionedFigure" w:type="paragraph">
    <w:name w:val="Captioned Figure"/>
    <w:basedOn w:val="Figure"/>
    <w:pPr>
      <w:keepNext/>
    </w:pPr>
    <w:rPr>
      <w:rFonts w:ascii="Times New Roman" w:hAnsi="Times New Roman" w:cs="Times New Roman" w:eastAsia="Times New Roman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Times New Roman" w:hAnsi="Times New Roman" w:cs="Times New Roman" w:eastAsia="Times New Roman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  <w:rPr>
      <w:rFonts w:ascii="Times New Roman" w:hAnsi="Times New Roman" w:cs="Times New Roman" w:eastAsia="Times New Roman"/>
    </w:r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2026-10-02T10:21:14Z</dcterms:created>
  <dcterms:modified xsi:type="dcterms:W3CDTF">2026-10-02T10:21:14Z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