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64f07aeb0b0cb5fdaf77995e9a2dafb26b9409f"/>
    <w:p>
      <w:pPr>
        <w:pStyle w:val="Heading1"/>
      </w:pPr>
      <w:r>
        <w:t xml:space="preserve">Публичная оферта о заключении лицензионного договора на неисключительные права использования программ для ЭВМ торговой марки «Стартапус»</w:t>
      </w:r>
    </w:p>
    <w:p>
      <w:pPr>
        <w:pStyle w:val="FirstParagraph"/>
        <w:jc w:val="both"/>
      </w:pPr>
      <w:r>
        <w:t>Редакция от 02 октября 2026 г. Опубликована по адресу: https://startapus.com/ru/legal/license-offer</w:t>
      </w:r>
    </w:p>
    <w:p>
      <w:pPr>
        <w:pStyle w:val="BodyText"/>
        <w:jc w:val="both"/>
      </w:pPr>
      <w:r>
        <w:rPr>
          <w:bCs/>
          <w:b/>
        </w:rPr>
        <w:t xml:space="preserve">Индивидуальный предприниматель Лукьян Дмитрий Михайлович</w:t>
      </w:r>
      <w:r>
        <w:t xml:space="preserve">, ИНН 773571770187, ОГРНИП 313774609200207, действующий от своего имени (далее —</w:t>
      </w:r>
      <w:r>
        <w:t xml:space="preserve"> </w:t>
      </w:r>
      <w:r>
        <w:rPr>
          <w:bCs/>
          <w:b/>
        </w:rPr>
        <w:t xml:space="preserve">Лицензиар</w:t>
      </w:r>
      <w:r>
        <w:t xml:space="preserve">), в соответствии со ст. 435 и п. 2 ст. 437 ГК РФ адресует настоящую оферту неопределённому кругу лиц, готовых принять её условия (далее —</w:t>
      </w:r>
      <w:r>
        <w:t xml:space="preserve"> </w:t>
      </w:r>
      <w:r>
        <w:rPr>
          <w:bCs/>
          <w:b/>
        </w:rPr>
        <w:t xml:space="preserve">Лицензиат</w:t>
      </w:r>
      <w:r>
        <w:t xml:space="preserve">).</w:t>
      </w:r>
    </w:p>
    <w:bookmarkStart w:id="20" w:name="термины"/>
    <w:p>
      <w:pPr>
        <w:pStyle w:val="Heading2"/>
      </w:pPr>
      <w:r>
        <w:t xml:space="preserve">1. Термины</w:t>
      </w:r>
    </w:p>
    <w:p>
      <w:pPr>
        <w:pStyle w:val="FirstParagraph"/>
        <w:jc w:val="both"/>
      </w:pPr>
      <w:r>
        <w:t xml:space="preserve">1.1.</w:t>
      </w:r>
      <w:r>
        <w:t xml:space="preserve"> </w:t>
      </w:r>
      <w:r>
        <w:rPr>
          <w:bCs/>
          <w:b/>
        </w:rPr>
        <w:t xml:space="preserve">Продукты</w:t>
      </w:r>
      <w:r>
        <w:t xml:space="preserve"> </w:t>
      </w:r>
      <w:r>
        <w:t xml:space="preserve">— программы для ЭВМ, входящие в линейку «Стартапус», перечень которых приведён в Приложении № 1 (с учётом новых версий и продуктов, добавленных в Приложение № 1 Лицензиаром).</w:t>
      </w:r>
    </w:p>
    <w:p>
      <w:pPr>
        <w:pStyle w:val="BodyText"/>
        <w:jc w:val="both"/>
      </w:pPr>
      <w:r>
        <w:t xml:space="preserve">1.2.</w:t>
      </w:r>
      <w:r>
        <w:t xml:space="preserve"> </w:t>
      </w:r>
      <w:r>
        <w:rPr>
          <w:bCs/>
          <w:b/>
        </w:rPr>
        <w:t xml:space="preserve">Экземпляр</w:t>
      </w:r>
      <w:r>
        <w:t xml:space="preserve"> </w:t>
      </w:r>
      <w:r>
        <w:t xml:space="preserve">— одна копия Продукта в объектном коде, передаваемая Лицензиату по одному Акту или УПД.</w:t>
      </w:r>
    </w:p>
    <w:p>
      <w:pPr>
        <w:pStyle w:val="BodyText"/>
        <w:jc w:val="both"/>
      </w:pPr>
      <w:r>
        <w:t xml:space="preserve">1.3.</w:t>
      </w:r>
      <w:r>
        <w:t xml:space="preserve"> </w:t>
      </w:r>
      <w:r>
        <w:rPr>
          <w:bCs/>
          <w:b/>
        </w:rPr>
        <w:t xml:space="preserve">Акт или УПД</w:t>
      </w:r>
      <w:r>
        <w:t xml:space="preserve"> </w:t>
      </w:r>
      <w:r>
        <w:t xml:space="preserve">— акт приёма-передачи либо универсальный передаточный документ (УПД), которым оформляется передача прав и Экземпляра и в котором указаны Продукт, версия, срок и территория по конкретной передаче.</w:t>
      </w:r>
    </w:p>
    <w:p>
      <w:pPr>
        <w:pStyle w:val="BodyText"/>
        <w:jc w:val="both"/>
      </w:pPr>
      <w:r>
        <w:t xml:space="preserve">1.4.</w:t>
      </w:r>
      <w:r>
        <w:t xml:space="preserve"> </w:t>
      </w:r>
      <w:r>
        <w:rPr>
          <w:bCs/>
          <w:b/>
        </w:rPr>
        <w:t xml:space="preserve">Счёт</w:t>
      </w:r>
      <w:r>
        <w:t xml:space="preserve"> </w:t>
      </w:r>
      <w:r>
        <w:t xml:space="preserve">— счёт на оплату либо счёт-договор, выставленный в рамках настоящей оферты, в котором указаны Продукт, версия, количество Экземпляров, срок, территория, вознаграждение и порядок оплаты. Цена определяется Счётом.</w:t>
      </w:r>
    </w:p>
    <w:bookmarkEnd w:id="20"/>
    <w:bookmarkStart w:id="21" w:name="предмет-договора"/>
    <w:p>
      <w:pPr>
        <w:pStyle w:val="Heading2"/>
      </w:pPr>
      <w:r>
        <w:t xml:space="preserve">2. Предмет договора</w:t>
      </w:r>
    </w:p>
    <w:p>
      <w:pPr>
        <w:pStyle w:val="FirstParagraph"/>
        <w:jc w:val="both"/>
      </w:pPr>
      <w:r>
        <w:t xml:space="preserve">2.1. Лицензиар предоставляет Лицензиату на условиях простой (неисключительной) лицензии право использования Продуктов, указанных в Актах или УПД, в пределах, установленных разделом 3, а Лицензиат обязуется уплатить вознаграждение.</w:t>
      </w:r>
    </w:p>
    <w:p>
      <w:pPr>
        <w:pStyle w:val="BodyText"/>
        <w:jc w:val="both"/>
      </w:pPr>
      <w:r>
        <w:t xml:space="preserve">2.2. Договор охватывает серию Продуктов. Конкретный Продукт, версия, количество Экземпляров и цена определяются Счётом, а передача прав и Экземпляра оформляется Актом или УПД. Права на Продукт считаются предоставленными с даты подписания Акта или УПД обеими сторонами. Передача Экземпляра и ключей активации может быть поставлена в зависимость от оплаты, если это указано в Счёте.</w:t>
      </w:r>
    </w:p>
    <w:p>
      <w:pPr>
        <w:pStyle w:val="BodyText"/>
        <w:jc w:val="both"/>
      </w:pPr>
      <w:r>
        <w:t xml:space="preserve">2.2.1. Индивидуальные условия счёта-договора (цена, сроки, порядок оплаты, комплектация) имеют приоритет над настоящей офертой, но не могут допускать тиражирование либо передачу исключительного права. Параметры, указанные в п. 3.3 (среда использования, территория, срок, исходный код), могут быть изменены Счётом, Актом или УПД либо счётом-договором.</w:t>
      </w:r>
    </w:p>
    <w:p>
      <w:pPr>
        <w:pStyle w:val="BodyText"/>
        <w:jc w:val="both"/>
      </w:pPr>
      <w:r>
        <w:t xml:space="preserve">2.3. Лицензиар подтверждает, что является правообладателем и обладает исключительными правами на все Продукты из Приложения № 1.</w:t>
      </w:r>
    </w:p>
    <w:bookmarkEnd w:id="21"/>
    <w:bookmarkStart w:id="22" w:name="объём-прав"/>
    <w:p>
      <w:pPr>
        <w:pStyle w:val="Heading2"/>
      </w:pPr>
      <w:r>
        <w:t xml:space="preserve">3. Объём прав</w:t>
      </w:r>
    </w:p>
    <w:p>
      <w:pPr>
        <w:pStyle w:val="FirstParagraph"/>
        <w:jc w:val="both"/>
      </w:pPr>
      <w:r>
        <w:t xml:space="preserve">3.1. По каждому Экземпляру Лицензиату предоставляются следующие права:</w:t>
      </w:r>
    </w:p>
    <w:p>
      <w:pPr>
        <w:pStyle w:val="BodyText"/>
        <w:jc w:val="both"/>
      </w:pPr>
      <w:r>
        <w:t xml:space="preserve">а)</w:t>
      </w:r>
      <w:r>
        <w:t xml:space="preserve"> </w:t>
      </w:r>
      <w:r>
        <w:rPr>
          <w:bCs/>
          <w:b/>
        </w:rPr>
        <w:t xml:space="preserve">использование</w:t>
      </w:r>
      <w:r>
        <w:t xml:space="preserve">: воспроизведение (установка, запуск, хранение в памяти) Экземпляра в одной</w:t>
      </w:r>
      <w:r>
        <w:t xml:space="preserve"> </w:t>
      </w:r>
      <w:r>
        <w:rPr>
          <w:bCs/>
          <w:b/>
        </w:rPr>
        <w:t xml:space="preserve">Среде использования</w:t>
      </w:r>
      <w:r>
        <w:t xml:space="preserve"> </w:t>
      </w:r>
      <w:r>
        <w:t xml:space="preserve">и применение по функциональному назначению. Среда использования, по выбору, указанному в Счёте, Акте или УПД: (i) одно устройство (сервер), в том числе виртуальное; либо (ii) один домен, включая все его поддомены. Если выбор не указан, применяется вариант (i). Использование на нескольких устройствах или доменах допускается только по письменному согласию Лицензиара (оформляется в Счёте, Акте или УПД или отдельным письмом);</w:t>
      </w:r>
    </w:p>
    <w:p>
      <w:pPr>
        <w:pStyle w:val="BodyText"/>
        <w:jc w:val="both"/>
      </w:pPr>
      <w:r>
        <w:t xml:space="preserve">б)</w:t>
      </w:r>
      <w:r>
        <w:t xml:space="preserve"> </w:t>
      </w:r>
      <w:r>
        <w:rPr>
          <w:bCs/>
          <w:b/>
        </w:rPr>
        <w:t xml:space="preserve">доработка</w:t>
      </w:r>
      <w:r>
        <w:t xml:space="preserve">: внесение изменений в Продукт (адаптация, настройка, интеграция, переработка), включая создание производных функциональных модулей, в объёме, необходимом для использования или передачи Продукта клиенту. Права на самостоятельно созданные модули принадлежат Лицензиату, но не затрагивают права Лицензиара на исходный Продукт; исходный код Лицензиаром не передаётся, если иное не указано в Акте или УПД либо Счёте;</w:t>
      </w:r>
    </w:p>
    <w:p>
      <w:pPr>
        <w:pStyle w:val="BodyText"/>
        <w:jc w:val="both"/>
      </w:pPr>
      <w:r>
        <w:t xml:space="preserve">в)</w:t>
      </w:r>
      <w:r>
        <w:t xml:space="preserve"> </w:t>
      </w:r>
      <w:r>
        <w:rPr>
          <w:bCs/>
          <w:b/>
        </w:rPr>
        <w:t xml:space="preserve">перепродажа своей копии</w:t>
      </w:r>
      <w:r>
        <w:t xml:space="preserve">: передача приобретённого Лицензиатом Экземпляра вместе с правами на него другому лицу целиком, с прекращением у Лицензиата прав на этот Экземпляр и удалением всех его копий (разд. 4). Такая перепродажа не является тиражированием.</w:t>
      </w:r>
    </w:p>
    <w:p>
      <w:pPr>
        <w:pStyle w:val="BodyText"/>
        <w:jc w:val="both"/>
      </w:pPr>
      <w:r>
        <w:t xml:space="preserve">3.2.</w:t>
      </w:r>
      <w:r>
        <w:t xml:space="preserve"> </w:t>
      </w:r>
      <w:r>
        <w:rPr>
          <w:bCs/>
          <w:b/>
        </w:rPr>
        <w:t xml:space="preserve">Не предоставляется</w:t>
      </w:r>
      <w:r>
        <w:t xml:space="preserve"> </w:t>
      </w:r>
      <w:r>
        <w:t xml:space="preserve">право: тиражирования (изготовления, установки или продажи более одной копии Экземпляра, в том числе передачи одной и той же копии нескольким лицам либо сохранения копии после перепродажи; установки в нескольких Средах использования без согласия Лицензиара; кроме технически необходимых резервных копий); публичного показа, доведения до всеобщего сведения; декомпилирования, кроме случаев, прямо разрешённых ст. 1280 ГК РФ; использования товарных знаков Лицензиара, кроме указания наименования Продукта при перепродаже [либо — по отдельному соглашению].</w:t>
      </w:r>
    </w:p>
    <w:p>
      <w:pPr>
        <w:pStyle w:val="BodyText"/>
        <w:jc w:val="both"/>
      </w:pPr>
      <w:r>
        <w:t xml:space="preserve">3.3. Если иное не указано в Акте или УПД либо Счёте (счёте-договоре): территория — Российская Федерация; срок — бессрочно, с даты подписания Акта или УПД; Среда использования — по п. 3.1 «а»; исходный код не передаётся.</w:t>
      </w:r>
    </w:p>
    <w:p>
      <w:pPr>
        <w:pStyle w:val="BodyText"/>
        <w:jc w:val="both"/>
      </w:pPr>
      <w:r>
        <w:t xml:space="preserve">3.4. Права Лицензиата, не указанные в п. 3.1, считаются непредоставленными (п. 5 ст. 1235 ГК РФ).</w:t>
      </w:r>
    </w:p>
    <w:p>
      <w:pPr>
        <w:pStyle w:val="BodyText"/>
        <w:jc w:val="both"/>
      </w:pPr>
      <w:r>
        <w:t xml:space="preserve">3.5.</w:t>
      </w:r>
      <w:r>
        <w:t xml:space="preserve"> </w:t>
      </w:r>
      <w:r>
        <w:rPr>
          <w:bCs/>
          <w:b/>
        </w:rPr>
        <w:t xml:space="preserve">Исключительное право на Продукты не передаётся и не отчуждается.</w:t>
      </w:r>
      <w:r>
        <w:t xml:space="preserve"> </w:t>
      </w:r>
      <w:r>
        <w:t xml:space="preserve">Ничто в настоящем договоре, Актах или УПД и иных документах не является отчуждением, уступкой или залогом исключительного права, а также передачей прав на товарные знаки и наименования. Передача исходного кода (если она согласована в Акте или УПД либо Счёте) не означает передачи исключительного права или права на тиражирование. Исключительное право сохраняется за Лицензиаром в полном объёме.</w:t>
      </w:r>
    </w:p>
    <w:bookmarkEnd w:id="22"/>
    <w:bookmarkStart w:id="23" w:name="перепродажа-и-сублицензирование"/>
    <w:p>
      <w:pPr>
        <w:pStyle w:val="Heading2"/>
      </w:pPr>
      <w:r>
        <w:t xml:space="preserve">4. Перепродажа и сублицензирование</w:t>
      </w:r>
    </w:p>
    <w:p>
      <w:pPr>
        <w:pStyle w:val="FirstParagraph"/>
        <w:jc w:val="both"/>
      </w:pPr>
      <w:r>
        <w:t xml:space="preserve">4.1. Право сублицензирования предоставляется только Лицензиату — ООО «Л.Д.М. и Ко» (ИНН 7735578320, ОГРН 1117746434046) — на основании отдельного письменного согласия Лицензиара (ст. 1238 ГК РФ), оформленного как Приложение № 2 к Сублицензионной оферте Лицензиата. Сублицензии выдаются в пределах разд. 3 на условиях, не расширяющих права Лицензиата, без передачи исключительного права. Иным Лицензиатам право сублицензирования предоставляется только по отдельному письменному согласию Лицензиара.</w:t>
      </w:r>
    </w:p>
    <w:p>
      <w:pPr>
        <w:pStyle w:val="BodyText"/>
        <w:jc w:val="both"/>
      </w:pPr>
      <w:r>
        <w:t xml:space="preserve">4.2. Лицензиат вправе перепродать свою копию (Экземпляр) другому лицу целиком при условии: уведомления Лицензиара; принятия приобретателем условий настоящей оферты; прекращения прав Лицензиата и удаления им всех копий Продукта; отсутствия задолженности по вознаграждению. Лицензиар дал на такую передачу согласие заранее.</w:t>
      </w:r>
    </w:p>
    <w:p>
      <w:pPr>
        <w:pStyle w:val="BodyText"/>
        <w:jc w:val="both"/>
      </w:pPr>
      <w:r>
        <w:t xml:space="preserve">4.2.1.</w:t>
      </w:r>
      <w:r>
        <w:t xml:space="preserve"> </w:t>
      </w:r>
      <w:r>
        <w:rPr>
          <w:bCs/>
          <w:b/>
        </w:rPr>
        <w:t xml:space="preserve">С момента перепродажи Лицензиат полностью утрачивает право пользоваться Продуктом по данному Экземпляру.</w:t>
      </w:r>
      <w:r>
        <w:t xml:space="preserve"> </w:t>
      </w:r>
      <w:r>
        <w:t xml:space="preserve">Моментом перепродажи считается подписание Акта или УПД о передаче Экземпляра приобретателю либо передача ему дистрибутива и ключа активации, в зависимости от того, что наступило раньше. С этого момента прежний Лицензиат не вправе устанавливать, запускать, хранить, дорабатывать Продукт и иным образом использовать его, в том числе из резервных копий; он обязан удалить все копии Продукта и в течение [3] рабочих дней письменно подтвердить это Лицензиару. Лицензиар вправе заблокировать ключ активации прежнего Лицензиата и выдать ключ приобретателю. Дальнейшее использование Продукта прежним Лицензиатом является тиражированием и нарушением настоящего договора.</w:t>
      </w:r>
    </w:p>
    <w:p>
      <w:pPr>
        <w:pStyle w:val="BodyText"/>
        <w:jc w:val="both"/>
      </w:pPr>
      <w:r>
        <w:t xml:space="preserve">4.2.2. Приобретатель вправе на тех же условиях перепродать свою копию далее.</w:t>
      </w:r>
    </w:p>
    <w:p>
      <w:pPr>
        <w:pStyle w:val="BodyText"/>
        <w:jc w:val="both"/>
      </w:pPr>
      <w:r>
        <w:t xml:space="preserve">4.3. Дальнейшее сублицензирование клиентом (суб-сублицензия) запрещено, кроме перепродажи клиентом своей копии по разд. 4 Сублицензионной оферты.</w:t>
      </w:r>
    </w:p>
    <w:p>
      <w:pPr>
        <w:pStyle w:val="BodyText"/>
        <w:jc w:val="both"/>
      </w:pPr>
      <w:r>
        <w:t xml:space="preserve">4.4. Лицензиат отвечает перед Лицензиаром за действия сублицензиатов по использованию Продуктов (п. 2 ст. 1238 ГК РФ) и обязан включать в сублицензионные договоры ограничения п. 3.2.</w:t>
      </w:r>
    </w:p>
    <w:bookmarkEnd w:id="23"/>
    <w:bookmarkStart w:id="24" w:name="вознаграждение-и-расчёты"/>
    <w:p>
      <w:pPr>
        <w:pStyle w:val="Heading2"/>
      </w:pPr>
      <w:r>
        <w:t xml:space="preserve">5. Вознаграждение и расчёты</w:t>
      </w:r>
    </w:p>
    <w:p>
      <w:pPr>
        <w:pStyle w:val="FirstParagraph"/>
        <w:jc w:val="both"/>
      </w:pPr>
      <w:r>
        <w:t xml:space="preserve">5.1. Вознаграждение по каждому Экземпляру определяется Счётом (или счётом-договором), выставленным Лицензиаром, и указывается в Акте или УПД. Размер вознаграждения: [фиксированный платёж / процент].</w:t>
      </w:r>
    </w:p>
    <w:p>
      <w:pPr>
        <w:pStyle w:val="BodyText"/>
        <w:jc w:val="both"/>
      </w:pPr>
      <w:r>
        <w:t xml:space="preserve">5.2. Оплата производится в срок, указанный в Счёте, а при отсутствии срока — в течение [•] рабочих дней с даты выставления Счёта, в рублях на расчётный счёт Лицензиара. НДС: [включён по ставке • % / не облагается на основании [•]].</w:t>
      </w:r>
    </w:p>
    <w:p>
      <w:pPr>
        <w:pStyle w:val="BodyText"/>
        <w:jc w:val="both"/>
      </w:pPr>
      <w:r>
        <w:t xml:space="preserve">5.3. Цена, указанная в выставленном Счёте, не подлежит одностороннему изменению. Цена в Счетах, выставляемых позднее, определяется Лицензиаром самостоятельно.</w:t>
      </w:r>
    </w:p>
    <w:bookmarkEnd w:id="24"/>
    <w:bookmarkStart w:id="25" w:name="акцепт-и-заключение-договора"/>
    <w:p>
      <w:pPr>
        <w:pStyle w:val="Heading2"/>
      </w:pPr>
      <w:r>
        <w:t xml:space="preserve">6. Акцепт и заключение договора</w:t>
      </w:r>
    </w:p>
    <w:p>
      <w:pPr>
        <w:pStyle w:val="FirstParagraph"/>
        <w:jc w:val="both"/>
      </w:pPr>
      <w:r>
        <w:t xml:space="preserve">6.1. Акцептом оферты является любое из действий: оплата Счёта, выставленного Лицензиаром со ссылкой на оферту; подписание счёта-договора, Акта или УПД со ссылкой на оферту; письменное (в т. ч. по электронной почте) сообщение о согласии; фактическое начало использования Продукта (п. 3 ст. 438 ГК РФ).</w:t>
      </w:r>
    </w:p>
    <w:p>
      <w:pPr>
        <w:pStyle w:val="BodyText"/>
        <w:jc w:val="both"/>
      </w:pPr>
      <w:r>
        <w:t xml:space="preserve">6.2. Договор считается заключённым в письменной форме (п. 3 ст. 434, ст. 1286 ГК РФ) с момента акцепта.</w:t>
      </w:r>
    </w:p>
    <w:p>
      <w:pPr>
        <w:pStyle w:val="BodyText"/>
        <w:jc w:val="both"/>
      </w:pPr>
      <w:r>
        <w:t xml:space="preserve">6.3. Оферта действует до её отзыва Лицензиаром; отзыв не влияет на заключённые договоры.</w:t>
      </w:r>
    </w:p>
    <w:bookmarkEnd w:id="25"/>
    <w:bookmarkStart w:id="26" w:name="обратная-сила"/>
    <w:p>
      <w:pPr>
        <w:pStyle w:val="Heading2"/>
      </w:pPr>
      <w:r>
        <w:t xml:space="preserve">7. Обратная сила</w:t>
      </w:r>
    </w:p>
    <w:p>
      <w:pPr>
        <w:pStyle w:val="FirstParagraph"/>
        <w:jc w:val="both"/>
      </w:pPr>
      <w:r>
        <w:t xml:space="preserve">7.1. Настоящий Договор распространяет своё действие на отношения Сторон, возникшие с 07 ноября 2025 г., в соответствии с п. 2 ст. 425 ГК РФ. Права, переданные в указанный период, считаются переданными на условиях настоящего Договора.</w:t>
      </w:r>
    </w:p>
    <w:p>
      <w:pPr>
        <w:pStyle w:val="BodyText"/>
        <w:jc w:val="both"/>
      </w:pPr>
      <w:r>
        <w:t xml:space="preserve">7.2. Счета (счета-договоры) и акты или УПД, выставленные и подписанные с 07 ноября 2025 г., считаются выставленными и подписанными в рамках настоящего Договора, а указанные в них Продукты, Экземпляры и вознаграждение — относящимися к нему. Повторное подписание таких документов не требуется.</w:t>
      </w:r>
    </w:p>
    <w:p>
      <w:pPr>
        <w:pStyle w:val="BodyText"/>
        <w:jc w:val="both"/>
      </w:pPr>
      <w:r>
        <w:t xml:space="preserve">7.3. Лицензиар подтверждает, что на 07 ноября 2025 г. и в течение всего периода, указанного в п. 7.1, обладал исключительными правами на Продукты, права на использование которых были переданы.</w:t>
      </w:r>
    </w:p>
    <w:bookmarkEnd w:id="26"/>
    <w:bookmarkStart w:id="27" w:name="права-и-обязанности"/>
    <w:p>
      <w:pPr>
        <w:pStyle w:val="Heading2"/>
      </w:pPr>
      <w:r>
        <w:t xml:space="preserve">8. Права и обязанности</w:t>
      </w:r>
    </w:p>
    <w:p>
      <w:pPr>
        <w:pStyle w:val="FirstParagraph"/>
        <w:jc w:val="both"/>
      </w:pPr>
      <w:r>
        <w:t xml:space="preserve">8.1. Лицензиар обязуется передать Экземпляр и ключи активации, а также обеспечить [техническую поддержку на условиях [•]].</w:t>
      </w:r>
    </w:p>
    <w:p>
      <w:pPr>
        <w:pStyle w:val="BodyText"/>
        <w:jc w:val="both"/>
      </w:pPr>
      <w:r>
        <w:t xml:space="preserve">8.2. Лицензиат обязуется использовать Продукты в пределах прав, не допускать тиражирования и несанкционированной передачи, хранить ключи активации, по запросу Лицензиара подтверждать использование (не чаще [•] раз в год).</w:t>
      </w:r>
    </w:p>
    <w:p>
      <w:pPr>
        <w:pStyle w:val="BodyText"/>
        <w:jc w:val="both"/>
      </w:pPr>
      <w:r>
        <w:t xml:space="preserve">8.3. Лицензиар вправе приостановить поддержку и заблокировать ключи при нарушении п. 3.2 или неоплате более [•] дней.</w:t>
      </w:r>
    </w:p>
    <w:bookmarkEnd w:id="27"/>
    <w:bookmarkStart w:id="28" w:name="ответственность"/>
    <w:p>
      <w:pPr>
        <w:pStyle w:val="Heading2"/>
      </w:pPr>
      <w:r>
        <w:t xml:space="preserve">9. Ответственность</w:t>
      </w:r>
    </w:p>
    <w:p>
      <w:pPr>
        <w:pStyle w:val="FirstParagraph"/>
        <w:jc w:val="both"/>
      </w:pPr>
      <w:r>
        <w:t xml:space="preserve">9.1. За нарушение прав Лицензиара (тиражирование, выход за пределы прав, использование Продукта после перепродажи) Лицензиат уплачивает штраф [•] руб. за каждый незаконный экземпляр либо компенсацию по ст. 1301 ГК РФ — по выбору Лицензиара.</w:t>
      </w:r>
    </w:p>
    <w:p>
      <w:pPr>
        <w:pStyle w:val="BodyText"/>
        <w:jc w:val="both"/>
      </w:pPr>
      <w:r>
        <w:t xml:space="preserve">9.2. Просрочка оплаты — неустойка [0,1] % от суммы за каждый день.</w:t>
      </w:r>
    </w:p>
    <w:p>
      <w:pPr>
        <w:pStyle w:val="BodyText"/>
        <w:jc w:val="both"/>
      </w:pPr>
      <w:r>
        <w:t xml:space="preserve">9.3. Продукты предоставляются «как есть»; ответственность Лицензиара ограничена суммой вознаграждения по соответствующему Акту или УПД, за исключением случаев, когда ограничение недопустимо законом.</w:t>
      </w:r>
    </w:p>
    <w:p>
      <w:pPr>
        <w:pStyle w:val="BodyText"/>
        <w:jc w:val="both"/>
      </w:pPr>
      <w:r>
        <w:t xml:space="preserve">9.4. Лицензиар отвечает за то, что Продукты не нарушают исключительные права третьих лиц, и при предъявлении претензий принимает меры по их урегулированию.</w:t>
      </w:r>
    </w:p>
    <w:bookmarkEnd w:id="28"/>
    <w:bookmarkStart w:id="29" w:name="прочие-условия"/>
    <w:p>
      <w:pPr>
        <w:pStyle w:val="Heading2"/>
      </w:pPr>
      <w:r>
        <w:t xml:space="preserve">10. Прочие условия</w:t>
      </w:r>
    </w:p>
    <w:p>
      <w:pPr>
        <w:pStyle w:val="FirstParagraph"/>
        <w:jc w:val="both"/>
      </w:pPr>
      <w:r>
        <w:t xml:space="preserve">10.1. Применимое право — право РФ. Претензионный порядок — [30] дней. Споры — в Арбитражном суде г. Москвы.</w:t>
      </w:r>
    </w:p>
    <w:p>
      <w:pPr>
        <w:pStyle w:val="BodyText"/>
        <w:jc w:val="both"/>
      </w:pPr>
      <w:r>
        <w:t xml:space="preserve">10.2. Лицензиар вправе изменять оферту; новая редакция действует для Актов или УПД, подписанных после её публикации.</w:t>
      </w:r>
    </w:p>
    <w:p>
      <w:pPr>
        <w:pStyle w:val="BodyText"/>
        <w:jc w:val="both"/>
      </w:pPr>
      <w:r>
        <w:t xml:space="preserve">10.3. Документы могут подписываться простой или усиленной электронной подписью, обмениваться через ЭДО.</w:t>
      </w:r>
    </w:p>
    <w:bookmarkEnd w:id="29"/>
    <w:bookmarkStart w:id="30" w:name="реквизиты-лицензиара"/>
    <w:p>
      <w:pPr>
        <w:pStyle w:val="Heading2"/>
      </w:pPr>
      <w:r>
        <w:t xml:space="preserve">11. Реквизиты Лицензиара</w:t>
      </w:r>
    </w:p>
    <w:p>
      <w:pPr>
        <w:pStyle w:val="FirstParagraph"/>
        <w:jc w:val="left"/>
      </w:pPr>
      <w:r>
        <w:rPr>
          <w:bCs/>
          <w:b/>
        </w:rPr>
        <w:t xml:space="preserve">Лицензиар:</w:t>
      </w:r>
      <w:r>
        <w:t xml:space="preserve"> </w:t>
      </w:r>
      <w:r>
        <w:t xml:space="preserve">Индивидуальный предприниматель Лукьян Дмитрий Михайлович</w:t>
      </w:r>
      <w:r>
        <w:br/>
      </w:r>
      <w:r>
        <w:t xml:space="preserve">ИНН 773571770187, ОГРНИП 313774609200207 (дата регистрации 02.04.2013)</w:t>
      </w:r>
      <w:r>
        <w:br/>
      </w:r>
      <w:r>
        <w:t xml:space="preserve">Адрес: 124460, г. Москва, г. Зеленоград, корп. 1106, кв. 56</w:t>
      </w:r>
      <w:r>
        <w:br/>
      </w:r>
      <w:r>
        <w:t xml:space="preserve">Р/с 40802810738150008134 в ОАО «Сбербанк России» (Московский банк), к/с 30101810400000000225, БИК 044525225</w:t>
      </w:r>
      <w:r>
        <w:br/>
      </w:r>
      <w:r>
        <w:t xml:space="preserve">Р/с 40802810570010040014 в Московском филиале АО КБ «Модульбанк», к/с 30101810645250000092, БИК 044525092</w:t>
      </w:r>
      <w:r>
        <w:br/>
      </w:r>
      <w:r>
        <w:t xml:space="preserve">Тел.: 8 (909) 150-34-44. Сайт: www.ldmco.ru</w:t>
      </w:r>
    </w:p>
    <w:p>
      <w:pPr>
        <w:pStyle w:val="BodyText"/>
        <w:jc w:val="both"/>
      </w:pPr>
      <w:r>
        <w:t xml:space="preserve">Подпись: ________________ / Лукьян Д. М. /</w:t>
      </w:r>
    </w:p>
    <w:p>
      <w:r>
        <w:pict>
          <v:rect style="width:0;height:1.5pt" o:hralign="center" o:hrstd="t" o:hr="t"/>
        </w:pict>
      </w:r>
    </w:p>
    <w:bookmarkEnd w:id="30"/>
    <w:bookmarkStart w:id="35" w:name="Xbcfdb0aef1b5c1c22cb58390270d4ce77ef5f77"/>
    <w:p>
      <w:pPr>
        <w:pStyle w:val="Heading2"/>
      </w:pPr>
      <w:r>
        <w:t xml:space="preserve">Приложение № 1. Перечень и спецификации Продуктов</w:t>
      </w:r>
    </w:p>
    <w:p>
      <w:pPr>
        <w:pStyle w:val="FirstParagraph"/>
        <w:jc w:val="both"/>
      </w:pPr>
      <w:r>
        <w:t xml:space="preserve">Линейка программ для ЭВМ торговой марки «Стартапус» (экосистема продуктов). Права на каждый Продукт предоставляются в объёме разд. 3 договора отдельно по каждому Экземпляру, указанному в Акте или УПД.</w:t>
      </w:r>
    </w:p>
    <w:bookmarkStart w:id="31" w:name="часть-1.-перечень-продуктов"/>
    <w:p>
      <w:pPr>
        <w:pStyle w:val="Heading3"/>
      </w:pPr>
      <w:r>
        <w:t xml:space="preserve">Часть 1. Перечень Продуктов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"/>
        <w:gridCol w:w="963"/>
        <w:gridCol w:w="1177"/>
        <w:gridCol w:w="856"/>
        <w:gridCol w:w="460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Продукт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Регистрация (Роспатент / реестр рос. ПО)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Хабус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Единый доступ к более чем 400 нейромоделям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Единый вход и профиль для всех сервисов компании (Стартапус 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Корпоративный мессенджер: чаты, звонки, боты, кросс-мессенджер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Контентус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Продвинутая CMS для управления контентом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Умус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ИИ-база знаний с анализом до 5000+ источников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Школус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Образовательная платформа: курсы без кода, ИИ-педагог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Реформус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Коммуникация с сообществом, сбор идей, краудфандинг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Процессус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ERP, собираемая под процессы заказчика, интерфейс под каждую роль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Счётус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Финансы, биллинг и подписки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Витринус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CMS для витрин: конструктор, ИИ-агент, акции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Кадрус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Рабочее пространство для создания видеороликов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[•]</w:t>
            </w:r>
          </w:p>
        </w:tc>
      </w:tr>
    </w:tbl>
    <w:bookmarkEnd w:id="31"/>
    <w:bookmarkStart w:id="32" w:name="Xf57465caefe86d6fe75d03cbd6d033b867ff7b6"/>
    <w:p>
      <w:pPr>
        <w:pStyle w:val="Heading3"/>
      </w:pPr>
      <w:r>
        <w:t xml:space="preserve">Часть 2. Общие условия поставки (для всех Продуктов)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Форма поставки:</w:t>
      </w:r>
      <w:r>
        <w:t xml:space="preserve"> </w:t>
      </w:r>
      <w:r>
        <w:t xml:space="preserve">[дистрибутив / образ контейнера] в объектном коде и ключ активации. Исходный код не передаётся, если иное не указано в Акте или УПД либо Счёте.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Состав Экземпляра:</w:t>
      </w:r>
      <w:r>
        <w:t xml:space="preserve"> </w:t>
      </w:r>
      <w:r>
        <w:t xml:space="preserve">программа, пользовательская и административная документация, обновления внутри приобретённой версии [срок обновлений: •].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Язык интерфейса:</w:t>
      </w:r>
      <w:r>
        <w:t xml:space="preserve"> </w:t>
      </w:r>
      <w:r>
        <w:t xml:space="preserve">русский [и английский — уточнить].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Требования к среде</w:t>
      </w:r>
      <w:r>
        <w:t xml:space="preserve"> </w:t>
      </w:r>
      <w:r>
        <w:t xml:space="preserve">(ОС, СУБД, ресурсы): указываются в документации к версии [URL].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Сторонние компоненты.</w:t>
      </w:r>
      <w:r>
        <w:t xml:space="preserve"> </w:t>
      </w:r>
      <w:r>
        <w:t xml:space="preserve">В Продуктах могут использоваться компоненты с открытым исходным кодом, права на которые регулируются их собственными лицензиями (перечень: [URL]). Доступ к сторонним сервисам и нейромоделям (в частности, через Хабус и Умус) осуществляется на условиях их правообладателей и не входит в предмет настоящего договора.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Данные.</w:t>
      </w:r>
      <w:r>
        <w:t xml:space="preserve"> </w:t>
      </w:r>
      <w:r>
        <w:t xml:space="preserve">Права на данные, загруженные или созданные Лицензиатом (пользователями) при работе с Продуктом, остаются у соответствующих лиц.</w:t>
      </w:r>
    </w:p>
    <w:p>
      <w:pPr>
        <w:numPr>
          <w:ilvl w:val="0"/>
          <w:numId w:val="1001"/>
        </w:numPr>
        <w:pStyle w:val="Compact"/>
      </w:pPr>
      <w:r>
        <w:t xml:space="preserve">Один Экземпляр = одна установка в одной Среде использования (п. 3.1 «а»); тиражирование запрещено (п. 3.2).</w:t>
      </w:r>
    </w:p>
    <w:bookmarkEnd w:id="32"/>
    <w:bookmarkStart w:id="33" w:name="часть-3.-спецификации-продуктов"/>
    <w:p>
      <w:pPr>
        <w:pStyle w:val="Heading3"/>
      </w:pPr>
      <w:r>
        <w:t xml:space="preserve">Часть 3. Спецификации Продуктов</w:t>
      </w:r>
    </w:p>
    <w:p>
      <w:pPr>
        <w:pStyle w:val="FirstParagraph"/>
        <w:jc w:val="both"/>
      </w:pPr>
      <w:r>
        <w:rPr>
          <w:bCs/>
          <w:b/>
        </w:rPr>
        <w:t xml:space="preserve">1. Хабус</w:t>
      </w:r>
    </w:p>
    <w:p>
      <w:pPr>
        <w:numPr>
          <w:ilvl w:val="0"/>
          <w:numId w:val="1002"/>
        </w:numPr>
        <w:pStyle w:val="Compact"/>
      </w:pPr>
      <w:r>
        <w:t xml:space="preserve">Назначение: единый доступ к более чем 400 нейромоделям разных разработчиков для разработчиков и компаний.</w:t>
      </w:r>
    </w:p>
    <w:p>
      <w:pPr>
        <w:numPr>
          <w:ilvl w:val="0"/>
          <w:numId w:val="1002"/>
        </w:numPr>
        <w:pStyle w:val="Compact"/>
      </w:pPr>
      <w:r>
        <w:t xml:space="preserve">Основные функции: единая точка подключения моделей по API (в том числе через SDK OpenAI без изменения кода клиента); маршрутизация запросов и переключение при сбоях (failover); сравнение ответов нескольких моделей; API-ключи и лимиты на пользователя; учёт расхода и оплата через кошелёк Счётуса; настройки под требования 152-ФЗ.</w:t>
      </w:r>
    </w:p>
    <w:p>
      <w:pPr>
        <w:numPr>
          <w:ilvl w:val="0"/>
          <w:numId w:val="1002"/>
        </w:numPr>
        <w:pStyle w:val="Compact"/>
      </w:pPr>
      <w:r>
        <w:t xml:space="preserve">Особенность: нейромодели и доступ к ним предоставляются их правообладателями и не входят в предмет договора (Часть 2, п. 5).</w:t>
      </w:r>
    </w:p>
    <w:p>
      <w:pPr>
        <w:pStyle w:val="FirstParagraph"/>
        <w:jc w:val="both"/>
      </w:pPr>
      <w:r>
        <w:rPr>
          <w:bCs/>
          <w:b/>
        </w:rPr>
        <w:t xml:space="preserve">2. Логинус</w:t>
      </w:r>
    </w:p>
    <w:p>
      <w:pPr>
        <w:numPr>
          <w:ilvl w:val="0"/>
          <w:numId w:val="1003"/>
        </w:numPr>
        <w:pStyle w:val="Compact"/>
      </w:pPr>
      <w:r>
        <w:t xml:space="preserve">Назначение: единый вход и профиль пользователя (Стартапус ID) для всех сервисов компании.</w:t>
      </w:r>
    </w:p>
    <w:p>
      <w:pPr>
        <w:numPr>
          <w:ilvl w:val="0"/>
          <w:numId w:val="1003"/>
        </w:numPr>
        <w:pStyle w:val="Compact"/>
      </w:pPr>
      <w:r>
        <w:t xml:space="preserve">Основные функции: единый вход (SSO) между существующими и новыми сервисами; профиль и роли пользователей; брендирование страницы входа (white-label ID); подключение сервисов; настройки под 152-ФЗ.</w:t>
      </w:r>
    </w:p>
    <w:p>
      <w:pPr>
        <w:pStyle w:val="FirstParagraph"/>
        <w:jc w:val="both"/>
      </w:pPr>
      <w:r>
        <w:rPr>
          <w:bCs/>
          <w:b/>
        </w:rPr>
        <w:t xml:space="preserve">3. Чатус</w:t>
      </w:r>
    </w:p>
    <w:p>
      <w:pPr>
        <w:numPr>
          <w:ilvl w:val="0"/>
          <w:numId w:val="1004"/>
        </w:numPr>
        <w:pStyle w:val="Compact"/>
      </w:pPr>
      <w:r>
        <w:t xml:space="preserve">Назначение: безопасный корпоративный мессенджер.</w:t>
      </w:r>
    </w:p>
    <w:p>
      <w:pPr>
        <w:numPr>
          <w:ilvl w:val="0"/>
          <w:numId w:val="1004"/>
        </w:numPr>
        <w:pStyle w:val="Compact"/>
      </w:pPr>
      <w:r>
        <w:t xml:space="preserve">Основные функции: чаты и рабочие группы; звонки; боты; кросс-мессенджер (общение с клиентами в Telegram и Max из одного окна); каналы.</w:t>
      </w:r>
    </w:p>
    <w:p>
      <w:pPr>
        <w:pStyle w:val="FirstParagraph"/>
        <w:jc w:val="both"/>
      </w:pPr>
      <w:r>
        <w:rPr>
          <w:bCs/>
          <w:b/>
        </w:rPr>
        <w:t xml:space="preserve">4. Контентус</w:t>
      </w:r>
    </w:p>
    <w:p>
      <w:pPr>
        <w:numPr>
          <w:ilvl w:val="0"/>
          <w:numId w:val="1005"/>
        </w:numPr>
        <w:pStyle w:val="Compact"/>
      </w:pPr>
      <w:r>
        <w:t xml:space="preserve">Назначение: продвинутая система управления контентом (CMS).</w:t>
      </w:r>
    </w:p>
    <w:p>
      <w:pPr>
        <w:numPr>
          <w:ilvl w:val="0"/>
          <w:numId w:val="1005"/>
        </w:numPr>
        <w:pStyle w:val="Compact"/>
      </w:pPr>
      <w:r>
        <w:t xml:space="preserve">Основные функции: контент-план; создание черновиков в заданном тоне бренда; расписание публикаций в социальных сетях; подключение социальных сетей.</w:t>
      </w:r>
    </w:p>
    <w:p>
      <w:pPr>
        <w:pStyle w:val="FirstParagraph"/>
        <w:jc w:val="both"/>
      </w:pPr>
      <w:r>
        <w:rPr>
          <w:bCs/>
          <w:b/>
        </w:rPr>
        <w:t xml:space="preserve">5. Умус</w:t>
      </w:r>
    </w:p>
    <w:p>
      <w:pPr>
        <w:numPr>
          <w:ilvl w:val="0"/>
          <w:numId w:val="1006"/>
        </w:numPr>
        <w:pStyle w:val="Compact"/>
      </w:pPr>
      <w:r>
        <w:t xml:space="preserve">Назначение: ИИ-база знаний.</w:t>
      </w:r>
    </w:p>
    <w:p>
      <w:pPr>
        <w:numPr>
          <w:ilvl w:val="0"/>
          <w:numId w:val="1006"/>
        </w:numPr>
        <w:pStyle w:val="Compact"/>
      </w:pPr>
      <w:r>
        <w:t xml:space="preserve">Основные функции: загрузка и анализ до 5000+ источников; поиск по смыслу по документам заказчика; ответы на вопросы со ссылкой на источник; пространства и владельцы статей.</w:t>
      </w:r>
    </w:p>
    <w:p>
      <w:pPr>
        <w:pStyle w:val="FirstParagraph"/>
        <w:jc w:val="both"/>
      </w:pPr>
      <w:r>
        <w:rPr>
          <w:bCs/>
          <w:b/>
        </w:rPr>
        <w:t xml:space="preserve">6. Школус</w:t>
      </w:r>
    </w:p>
    <w:p>
      <w:pPr>
        <w:numPr>
          <w:ilvl w:val="0"/>
          <w:numId w:val="1007"/>
        </w:numPr>
        <w:pStyle w:val="Compact"/>
      </w:pPr>
      <w:r>
        <w:t xml:space="preserve">Назначение: образовательная платформа без барьеров.</w:t>
      </w:r>
    </w:p>
    <w:p>
      <w:pPr>
        <w:numPr>
          <w:ilvl w:val="0"/>
          <w:numId w:val="1007"/>
        </w:numPr>
        <w:pStyle w:val="Compact"/>
      </w:pPr>
      <w:r>
        <w:t xml:space="preserve">Основные функции: бесшовная навигация по каталогу; ИИ-педагог 24/7; конструктор курсов без кода; образовательные маршруты под роль; скилы и начисление баллов (XP).</w:t>
      </w:r>
    </w:p>
    <w:p>
      <w:pPr>
        <w:pStyle w:val="FirstParagraph"/>
        <w:jc w:val="both"/>
      </w:pPr>
      <w:r>
        <w:rPr>
          <w:bCs/>
          <w:b/>
        </w:rPr>
        <w:t xml:space="preserve">7. Реформус</w:t>
      </w:r>
    </w:p>
    <w:p>
      <w:pPr>
        <w:numPr>
          <w:ilvl w:val="0"/>
          <w:numId w:val="1008"/>
        </w:numPr>
        <w:pStyle w:val="Compact"/>
      </w:pPr>
      <w:r>
        <w:t xml:space="preserve">Назначение: коммуникация с сообществом, сбор идей и краудфандинг.</w:t>
      </w:r>
    </w:p>
    <w:p>
      <w:pPr>
        <w:numPr>
          <w:ilvl w:val="0"/>
          <w:numId w:val="1008"/>
        </w:numPr>
        <w:pStyle w:val="Compact"/>
      </w:pPr>
      <w:r>
        <w:t xml:space="preserve">Основные функции: доска идей; голосование; статусы идей; краудфандинг; брендирование под заказчика (white-label).</w:t>
      </w:r>
    </w:p>
    <w:p>
      <w:pPr>
        <w:pStyle w:val="FirstParagraph"/>
        <w:jc w:val="both"/>
      </w:pPr>
      <w:r>
        <w:rPr>
          <w:bCs/>
          <w:b/>
        </w:rPr>
        <w:t xml:space="preserve">8. Процессус</w:t>
      </w:r>
    </w:p>
    <w:p>
      <w:pPr>
        <w:numPr>
          <w:ilvl w:val="0"/>
          <w:numId w:val="1009"/>
        </w:numPr>
        <w:pStyle w:val="Compact"/>
      </w:pPr>
      <w:r>
        <w:t xml:space="preserve">Назначение: ERP-система, собираемая под процессы заказчика, с простым интерфейсом под каждую роль.</w:t>
      </w:r>
    </w:p>
    <w:p>
      <w:pPr>
        <w:numPr>
          <w:ilvl w:val="0"/>
          <w:numId w:val="1009"/>
        </w:numPr>
        <w:pStyle w:val="Compact"/>
      </w:pPr>
      <w:r>
        <w:t xml:space="preserve">Основные функции: настройка ролей и маршрутов согласования; процессы и заявки; канбан-доска; интерфейс «три кнопки» для роли; мобильный экран руководителя.</w:t>
      </w:r>
    </w:p>
    <w:p>
      <w:pPr>
        <w:pStyle w:val="FirstParagraph"/>
        <w:jc w:val="both"/>
      </w:pPr>
      <w:r>
        <w:rPr>
          <w:bCs/>
          <w:b/>
        </w:rPr>
        <w:t xml:space="preserve">9. Счётус</w:t>
      </w:r>
    </w:p>
    <w:p>
      <w:pPr>
        <w:numPr>
          <w:ilvl w:val="0"/>
          <w:numId w:val="1010"/>
        </w:numPr>
        <w:pStyle w:val="Compact"/>
      </w:pPr>
      <w:r>
        <w:t xml:space="preserve">Назначение: финансы, биллинг и подписки.</w:t>
      </w:r>
    </w:p>
    <w:p>
      <w:pPr>
        <w:numPr>
          <w:ilvl w:val="0"/>
          <w:numId w:val="1010"/>
        </w:numPr>
        <w:pStyle w:val="Compact"/>
      </w:pPr>
      <w:r>
        <w:t xml:space="preserve">Основные функции: биллинг ресурсов; управление подписками; выставление счетов; кошелёк экосистемы и интеграция с Хабусом; ИИ-проверка счетов.</w:t>
      </w:r>
    </w:p>
    <w:p>
      <w:pPr>
        <w:pStyle w:val="FirstParagraph"/>
        <w:jc w:val="both"/>
      </w:pPr>
      <w:r>
        <w:rPr>
          <w:bCs/>
          <w:b/>
        </w:rPr>
        <w:t xml:space="preserve">10. Витринус</w:t>
      </w:r>
    </w:p>
    <w:p>
      <w:pPr>
        <w:numPr>
          <w:ilvl w:val="0"/>
          <w:numId w:val="1011"/>
        </w:numPr>
        <w:pStyle w:val="Compact"/>
      </w:pPr>
      <w:r>
        <w:t xml:space="preserve">Назначение: CMS для витрин.</w:t>
      </w:r>
    </w:p>
    <w:p>
      <w:pPr>
        <w:numPr>
          <w:ilvl w:val="0"/>
          <w:numId w:val="1011"/>
        </w:numPr>
        <w:pStyle w:val="Compact"/>
      </w:pPr>
      <w:r>
        <w:t xml:space="preserve">Основные функции: конструктор витрин; каталог товаров; подключение домена; гибкие акции; ИИ-агент на витрине.</w:t>
      </w:r>
    </w:p>
    <w:p>
      <w:pPr>
        <w:pStyle w:val="FirstParagraph"/>
        <w:jc w:val="both"/>
      </w:pPr>
      <w:r>
        <w:rPr>
          <w:bCs/>
          <w:b/>
        </w:rPr>
        <w:t xml:space="preserve">11. Кадрус</w:t>
      </w:r>
    </w:p>
    <w:p>
      <w:pPr>
        <w:numPr>
          <w:ilvl w:val="0"/>
          <w:numId w:val="1012"/>
        </w:numPr>
        <w:pStyle w:val="Compact"/>
      </w:pPr>
      <w:r>
        <w:t xml:space="preserve">Назначение: рабочее пространство для создания видеороликов (сериалов, рекламы, клипов).</w:t>
      </w:r>
    </w:p>
    <w:p>
      <w:pPr>
        <w:numPr>
          <w:ilvl w:val="0"/>
          <w:numId w:val="1012"/>
        </w:numPr>
        <w:pStyle w:val="Compact"/>
      </w:pPr>
      <w:r>
        <w:t xml:space="preserve">Основные функции: проекты и папки; холст ролика со сториборд; светлая и тёмная темы интерфейса.</w:t>
      </w:r>
    </w:p>
    <w:p>
      <w:pPr>
        <w:numPr>
          <w:ilvl w:val="0"/>
          <w:numId w:val="1012"/>
        </w:numPr>
        <w:pStyle w:val="Compact"/>
      </w:pPr>
      <w:r>
        <w:t xml:space="preserve">Описание составлено по интерфейсу дизайн-системы, подтвердите функции [уточнить].</w:t>
      </w:r>
    </w:p>
    <w:bookmarkEnd w:id="33"/>
    <w:bookmarkStart w:id="34" w:name="часть-4.-примечания"/>
    <w:p>
      <w:pPr>
        <w:pStyle w:val="Heading3"/>
      </w:pPr>
      <w:r>
        <w:t xml:space="preserve">Часть 4. Примечания</w:t>
      </w:r>
    </w:p>
    <w:p>
      <w:pPr>
        <w:numPr>
          <w:ilvl w:val="0"/>
          <w:numId w:val="1013"/>
        </w:numPr>
        <w:pStyle w:val="Compact"/>
      </w:pPr>
      <w:r>
        <w:t xml:space="preserve">Спецификации носят идентифицирующий характер и не ограничивают развитие Продуктов; функциональность может изменяться в новых версиях. Права предоставляются на ту версию, что указана в Акте или УПД.</w:t>
      </w:r>
    </w:p>
    <w:p>
      <w:pPr>
        <w:numPr>
          <w:ilvl w:val="0"/>
          <w:numId w:val="1013"/>
        </w:numPr>
        <w:pStyle w:val="Compact"/>
      </w:pPr>
      <w:r>
        <w:t xml:space="preserve">Перечень закрытый на дату публикации редакции. Новые Продукты включаются новой редакцией оферты (п. 1.1, п. 10.2).</w:t>
      </w:r>
    </w:p>
    <w:p>
      <w:pPr>
        <w:numPr>
          <w:ilvl w:val="0"/>
          <w:numId w:val="1013"/>
        </w:numPr>
        <w:pStyle w:val="Compact"/>
      </w:pPr>
      <w:r>
        <w:t xml:space="preserve">Не являются Продуктами и не передаются по настоящему договору: «Монетус» (токен учёта экосистемы), «Решалус» (ИИ-ассистент и маскот), а также библиотека интерфейсов</w:t>
      </w:r>
      <w:r>
        <w:t xml:space="preserve"> </w:t>
      </w:r>
      <w:r>
        <w:t xml:space="preserve">@reshalus/ui</w:t>
      </w:r>
      <w:r>
        <w:t xml:space="preserve">.</w:t>
      </w:r>
    </w:p>
    <w:p>
      <w:pPr>
        <w:numPr>
          <w:ilvl w:val="0"/>
          <w:numId w:val="1013"/>
        </w:numPr>
        <w:pStyle w:val="Compact"/>
      </w:pPr>
      <w:r>
        <w:t xml:space="preserve">Название «Стартапус», наименования Продуктов и логотипы</w:t>
      </w:r>
      <w:r>
        <w:t xml:space="preserve"> </w:t>
      </w:r>
      <w:r>
        <w:rPr>
          <w:bCs/>
          <w:b/>
        </w:rPr>
        <w:t xml:space="preserve">не лицензируются</w:t>
      </w:r>
      <w:r>
        <w:t xml:space="preserve"> </w:t>
      </w:r>
      <w:r>
        <w:t xml:space="preserve">(п. 3.2, п. 3.5); допускается указание наименования Продукта в документах и при перепродаже.</w:t>
      </w:r>
    </w:p>
    <w:bookmarkEnd w:id="34"/>
    <w:bookmarkEnd w:id="35"/>
    <w:bookmarkEnd w:id="36"/>
    <w:sectPr>
      <w:pgSz w:w="11906" w:h="16838"/>
      <w:pgMar w:left="1417" w:right="850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cs="Times New Roman" w:eastAsia="Times New Roman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Times New Roman" w:hAnsi="Times New Roman" w:cs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hAnsi="Times New Roman" w:cs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hAnsi="Times New Roman" w:cs="Times New Roman" w:eastAsia="Times New Roman"/>
      <w:sz w:val="20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hAnsi="Times New Roman" w:cs="Times New Roman" w:eastAsia="Times New Roman"/>
      <w:b/>
      <w:bCs/>
      <w:i w:val="0"/>
      <w:color w:val="000000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cs="Times New Roman" w:eastAsia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cs="Times New Roman" w:eastAsia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rFonts w:ascii="Times New Roman" w:hAnsi="Times New Roman" w:cs="Times New Roman" w:eastAsia="Times New Roman"/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cs="Times New Roman" w:eastAsia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cs="Times New Roman" w:eastAsia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Times New Roman" w:hAnsi="Times New Roman" w:cs="Times New Roman" w:eastAsia="Times New Roman"/>
      <w:b/>
      <w:bCs/>
      <w:i w:val="0"/>
      <w:color w:val="000000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Times New Roman" w:hAnsi="Times New Roman" w:cs="Times New Roman" w:eastAsia="Times New Roman"/>
      <w:i w:val="0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Times New Roman" w:hAnsi="Times New Roman" w:cs="Times New Roman" w:eastAsia="Times New Roman"/>
      <w:b/>
      <w:i w:val="0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Times New Roman" w:hAnsi="Times New Roman" w:cs="Times New Roman" w:eastAsia="Times New Roman"/>
      <w:b/>
      <w:i w:val="0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cs="Times New Roman" w:eastAsia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cs="Times New Roman" w:eastAsia="Times New Roman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cs="Times New Roman" w:eastAsia="Times New Roman"/>
      <w:b/>
    </w:rPr>
  </w:style>
  <w:style w:customStyle="1" w:styleId="Definition" w:type="paragraph">
    <w:name w:val="Definition"/>
    <w:basedOn w:val="Normal"/>
    <w:rPr>
      <w:rFonts w:ascii="Times New Roman" w:hAnsi="Times New Roman" w:cs="Times New Roman" w:eastAsia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cs="Times New Roman" w:eastAsia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cs="Times New Roman" w:eastAsia="Times New Roman"/>
    </w:rPr>
  </w:style>
  <w:style w:customStyle="1" w:styleId="ImageCaption" w:type="paragraph">
    <w:name w:val="Image Caption"/>
    <w:basedOn w:val="Caption"/>
    <w:rPr>
      <w:rFonts w:ascii="Times New Roman" w:hAnsi="Times New Roman" w:cs="Times New Roman" w:eastAsia="Times New Roman"/>
    </w:rPr>
  </w:style>
  <w:style w:customStyle="1" w:styleId="Figure" w:type="paragraph">
    <w:name w:val="Figure"/>
    <w:basedOn w:val="Normal"/>
    <w:rPr>
      <w:rFonts w:ascii="Times New Roman" w:hAnsi="Times New Roman" w:cs="Times New Roman" w:eastAsia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cs="Times New Roman" w:eastAsia="Times New Roman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Times New Roman" w:hAnsi="Times New Roman" w:cs="Times New Roman" w:eastAsia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cs="Times New Roman" w:eastAsia="Times New Roman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2026-10-02T10:21:14Z</dcterms:created>
  <dcterms:modified xsi:type="dcterms:W3CDTF">2026-10-02T10:21:14Z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